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D4D16">
      <w:pPr>
        <w:shd w:val="clear"/>
        <w:spacing w:before="0" w:beforeLines="50" w:beforeAutospacing="0" w:after="0" w:afterLines="25" w:afterAutospacing="0"/>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 xml:space="preserve">桐城医用同位素产业园基础设施项目项目建议书、可行性研究报告、项目规划报告、投资概算等服务采购项目（二次） </w:t>
      </w:r>
    </w:p>
    <w:p w14:paraId="368F78F5">
      <w:pPr>
        <w:shd w:val="clear"/>
        <w:spacing w:beforeAutospacing="0"/>
        <w:jc w:val="center"/>
        <w:rPr>
          <w:rFonts w:hint="eastAsia" w:ascii="仿宋_GB2312" w:hAnsi="仿宋_GB2312" w:eastAsia="仿宋_GB2312" w:cs="仿宋_GB2312"/>
          <w:b/>
          <w:bCs/>
          <w:color w:val="auto"/>
          <w:sz w:val="48"/>
          <w:szCs w:val="48"/>
          <w:highlight w:val="none"/>
          <w:lang w:val="en-US" w:eastAsia="zh-CN"/>
        </w:rPr>
      </w:pPr>
    </w:p>
    <w:p w14:paraId="3674D461">
      <w:pPr>
        <w:shd w:val="clear"/>
        <w:jc w:val="center"/>
        <w:rPr>
          <w:rFonts w:hint="default" w:ascii="仿宋_GB2312" w:hAnsi="仿宋_GB2312" w:eastAsia="仿宋_GB2312" w:cs="仿宋_GB2312"/>
          <w:b/>
          <w:bCs/>
          <w:color w:val="auto"/>
          <w:sz w:val="48"/>
          <w:szCs w:val="48"/>
          <w:highlight w:val="none"/>
          <w:lang w:val="en-US" w:eastAsia="zh-CN"/>
        </w:rPr>
      </w:pPr>
    </w:p>
    <w:p w14:paraId="5D880F29">
      <w:pPr>
        <w:shd w:val="clear"/>
        <w:jc w:val="center"/>
        <w:rPr>
          <w:rFonts w:hint="default" w:ascii="仿宋_GB2312" w:hAnsi="仿宋_GB2312" w:eastAsia="仿宋_GB2312" w:cs="仿宋_GB2312"/>
          <w:b/>
          <w:bCs/>
          <w:color w:val="auto"/>
          <w:sz w:val="48"/>
          <w:szCs w:val="56"/>
          <w:highlight w:val="none"/>
          <w:lang w:val="en-US" w:eastAsia="zh-CN"/>
        </w:rPr>
      </w:pPr>
    </w:p>
    <w:p w14:paraId="4ACBDFE7">
      <w:pPr>
        <w:pStyle w:val="17"/>
        <w:shd w:val="clear"/>
        <w:rPr>
          <w:rFonts w:hint="eastAsia"/>
          <w:color w:val="auto"/>
          <w:highlight w:val="none"/>
          <w:lang w:val="en-US" w:eastAsia="zh-CN"/>
        </w:rPr>
      </w:pPr>
    </w:p>
    <w:p w14:paraId="5C069A25">
      <w:pPr>
        <w:shd w:val="clear"/>
        <w:jc w:val="center"/>
        <w:rPr>
          <w:rFonts w:hint="eastAsia" w:ascii="仿宋_GB2312" w:hAnsi="仿宋_GB2312" w:eastAsia="仿宋_GB2312" w:cs="仿宋_GB2312"/>
          <w:b/>
          <w:bCs/>
          <w:color w:val="auto"/>
          <w:sz w:val="48"/>
          <w:szCs w:val="48"/>
          <w:highlight w:val="none"/>
          <w:lang w:val="en-US" w:eastAsia="zh-CN"/>
        </w:rPr>
      </w:pPr>
    </w:p>
    <w:p w14:paraId="4542BA9C">
      <w:pPr>
        <w:shd w:val="clear"/>
        <w:jc w:val="center"/>
        <w:rPr>
          <w:rFonts w:hint="eastAsia" w:ascii="仿宋_GB2312" w:hAnsi="仿宋_GB2312" w:eastAsia="仿宋_GB2312" w:cs="仿宋_GB2312"/>
          <w:b/>
          <w:bCs/>
          <w:color w:val="auto"/>
          <w:sz w:val="48"/>
          <w:szCs w:val="48"/>
          <w:highlight w:val="none"/>
          <w:lang w:val="en-US" w:eastAsia="zh-CN"/>
        </w:rPr>
      </w:pPr>
    </w:p>
    <w:p w14:paraId="1EFA47E6">
      <w:pPr>
        <w:shd w:val="clear"/>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比  选  文  件</w:t>
      </w:r>
    </w:p>
    <w:p w14:paraId="556F36E2">
      <w:pPr>
        <w:pStyle w:val="6"/>
        <w:shd w:val="clear"/>
        <w:rPr>
          <w:rFonts w:hint="eastAsia" w:ascii="仿宋_GB2312" w:hAnsi="仿宋_GB2312" w:eastAsia="仿宋_GB2312" w:cs="仿宋_GB2312"/>
          <w:color w:val="auto"/>
          <w:highlight w:val="none"/>
          <w:lang w:val="en-US" w:eastAsia="zh-CN"/>
        </w:rPr>
      </w:pPr>
    </w:p>
    <w:p w14:paraId="09631CCB">
      <w:pPr>
        <w:pStyle w:val="6"/>
        <w:shd w:val="clear"/>
        <w:rPr>
          <w:rFonts w:hint="eastAsia" w:ascii="仿宋_GB2312" w:hAnsi="仿宋_GB2312" w:eastAsia="仿宋_GB2312" w:cs="仿宋_GB2312"/>
          <w:b w:val="0"/>
          <w:bCs w:val="0"/>
          <w:color w:val="auto"/>
          <w:sz w:val="36"/>
          <w:szCs w:val="44"/>
          <w:highlight w:val="none"/>
          <w:lang w:val="en-US" w:eastAsia="zh-CN"/>
        </w:rPr>
      </w:pPr>
    </w:p>
    <w:p w14:paraId="31F9E568">
      <w:pPr>
        <w:shd w:val="clear"/>
        <w:rPr>
          <w:rFonts w:hint="eastAsia" w:ascii="仿宋_GB2312" w:hAnsi="仿宋_GB2312" w:eastAsia="仿宋_GB2312" w:cs="仿宋_GB2312"/>
          <w:b w:val="0"/>
          <w:bCs w:val="0"/>
          <w:color w:val="auto"/>
          <w:sz w:val="36"/>
          <w:szCs w:val="44"/>
          <w:highlight w:val="none"/>
          <w:lang w:val="en-US" w:eastAsia="zh-CN"/>
        </w:rPr>
      </w:pPr>
    </w:p>
    <w:p w14:paraId="7F8FD6CA">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20CF5693">
      <w:pPr>
        <w:pStyle w:val="6"/>
        <w:shd w:val="clear"/>
        <w:rPr>
          <w:rFonts w:hint="eastAsia" w:ascii="仿宋_GB2312" w:hAnsi="仿宋_GB2312" w:eastAsia="仿宋_GB2312" w:cs="仿宋_GB2312"/>
          <w:b w:val="0"/>
          <w:bCs w:val="0"/>
          <w:color w:val="auto"/>
          <w:kern w:val="2"/>
          <w:sz w:val="36"/>
          <w:szCs w:val="44"/>
          <w:highlight w:val="none"/>
          <w:lang w:val="en-US" w:eastAsia="zh-CN" w:bidi="ar-SA"/>
        </w:rPr>
      </w:pPr>
    </w:p>
    <w:p w14:paraId="3109FD60">
      <w:pPr>
        <w:pStyle w:val="6"/>
        <w:shd w:val="clear"/>
        <w:ind w:left="0" w:leftChars="0" w:firstLine="637" w:firstLineChars="177"/>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val="0"/>
          <w:color w:val="auto"/>
          <w:kern w:val="2"/>
          <w:sz w:val="36"/>
          <w:szCs w:val="44"/>
          <w:highlight w:val="none"/>
          <w:lang w:val="en-US" w:eastAsia="zh-CN" w:bidi="ar-SA"/>
        </w:rPr>
        <w:t>比 选 人：</w:t>
      </w:r>
      <w:r>
        <w:rPr>
          <w:rFonts w:hint="eastAsia" w:ascii="仿宋_GB2312" w:hAnsi="仿宋_GB2312" w:eastAsia="仿宋_GB2312" w:cs="仿宋_GB2312"/>
          <w:b w:val="0"/>
          <w:bCs w:val="0"/>
          <w:color w:val="auto"/>
          <w:kern w:val="2"/>
          <w:sz w:val="36"/>
          <w:szCs w:val="44"/>
          <w:highlight w:val="none"/>
          <w:u w:val="single"/>
          <w:lang w:val="en-US" w:eastAsia="zh-CN" w:bidi="ar-SA"/>
        </w:rPr>
        <w:t>桐城市新兴产业建设发展有限公司</w:t>
      </w:r>
    </w:p>
    <w:p w14:paraId="26176925">
      <w:pPr>
        <w:pStyle w:val="6"/>
        <w:shd w:val="clear"/>
        <w:rPr>
          <w:rFonts w:hint="eastAsia" w:ascii="仿宋_GB2312" w:hAnsi="仿宋_GB2312" w:eastAsia="仿宋_GB2312" w:cs="仿宋_GB2312"/>
          <w:color w:val="auto"/>
          <w:highlight w:val="none"/>
          <w:lang w:val="en-US" w:eastAsia="zh-CN"/>
        </w:rPr>
      </w:pPr>
    </w:p>
    <w:p w14:paraId="03DDC2D6">
      <w:pPr>
        <w:pStyle w:val="6"/>
        <w:shd w:val="clear"/>
        <w:rPr>
          <w:rFonts w:hint="eastAsia" w:ascii="仿宋_GB2312" w:hAnsi="仿宋_GB2312" w:eastAsia="仿宋_GB2312" w:cs="仿宋_GB2312"/>
          <w:color w:val="auto"/>
          <w:highlight w:val="none"/>
          <w:lang w:val="en-US" w:eastAsia="zh-CN"/>
        </w:rPr>
      </w:pPr>
    </w:p>
    <w:p w14:paraId="06E49917">
      <w:pPr>
        <w:keepNext w:val="0"/>
        <w:keepLines w:val="0"/>
        <w:pageBreakBefore w:val="0"/>
        <w:widowControl/>
        <w:numPr>
          <w:ilvl w:val="0"/>
          <w:numId w:val="0"/>
        </w:numPr>
        <w:suppressLineNumbers w:val="0"/>
        <w:shd w:val="clear"/>
        <w:kinsoku/>
        <w:wordWrap/>
        <w:overflowPunct/>
        <w:topLinePunct w:val="0"/>
        <w:autoSpaceDE/>
        <w:autoSpaceDN/>
        <w:bidi w:val="0"/>
        <w:spacing w:line="312" w:lineRule="auto"/>
        <w:ind w:left="0" w:leftChars="0" w:firstLine="637" w:firstLineChars="177"/>
        <w:jc w:val="both"/>
        <w:textAlignment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代理机构：</w:t>
      </w:r>
      <w:r>
        <w:rPr>
          <w:rFonts w:hint="eastAsia" w:ascii="仿宋_GB2312" w:hAnsi="仿宋_GB2312" w:eastAsia="仿宋_GB2312" w:cs="仿宋_GB2312"/>
          <w:b w:val="0"/>
          <w:bCs w:val="0"/>
          <w:color w:val="auto"/>
          <w:kern w:val="2"/>
          <w:sz w:val="36"/>
          <w:szCs w:val="44"/>
          <w:highlight w:val="none"/>
          <w:u w:val="single"/>
          <w:lang w:val="en-US" w:eastAsia="zh-CN" w:bidi="ar-SA"/>
        </w:rPr>
        <w:t>安庆宇屹工程咨询有限公司</w:t>
      </w:r>
    </w:p>
    <w:p w14:paraId="289760FC">
      <w:pPr>
        <w:pStyle w:val="6"/>
        <w:shd w:val="clear"/>
        <w:rPr>
          <w:rFonts w:hint="eastAsia" w:ascii="仿宋_GB2312" w:hAnsi="仿宋_GB2312" w:eastAsia="仿宋_GB2312" w:cs="仿宋_GB2312"/>
          <w:color w:val="auto"/>
          <w:highlight w:val="none"/>
          <w:lang w:val="en-US" w:eastAsia="zh-CN"/>
        </w:rPr>
      </w:pPr>
    </w:p>
    <w:p w14:paraId="22D8CDDA">
      <w:pPr>
        <w:pStyle w:val="6"/>
        <w:shd w:val="clear"/>
        <w:rPr>
          <w:rFonts w:hint="eastAsia" w:ascii="仿宋_GB2312" w:hAnsi="仿宋_GB2312" w:eastAsia="仿宋_GB2312" w:cs="仿宋_GB2312"/>
          <w:color w:val="auto"/>
          <w:highlight w:val="none"/>
          <w:lang w:val="en-US" w:eastAsia="zh-CN"/>
        </w:rPr>
      </w:pPr>
    </w:p>
    <w:p w14:paraId="1E874029">
      <w:pPr>
        <w:pStyle w:val="6"/>
        <w:shd w:val="clear"/>
        <w:rPr>
          <w:rFonts w:hint="eastAsia" w:ascii="仿宋_GB2312" w:hAnsi="仿宋_GB2312" w:eastAsia="仿宋_GB2312" w:cs="仿宋_GB2312"/>
          <w:color w:val="auto"/>
          <w:highlight w:val="none"/>
          <w:lang w:val="en-US" w:eastAsia="zh-CN"/>
        </w:rPr>
      </w:pPr>
    </w:p>
    <w:p w14:paraId="1EC4B734">
      <w:pPr>
        <w:pStyle w:val="6"/>
        <w:shd w:val="clear"/>
        <w:jc w:val="center"/>
        <w:rPr>
          <w:rFonts w:hint="eastAsia" w:ascii="仿宋_GB2312" w:hAnsi="仿宋_GB2312" w:eastAsia="仿宋_GB2312" w:cs="仿宋_GB2312"/>
          <w:b w:val="0"/>
          <w:bCs w:val="0"/>
          <w:color w:val="auto"/>
          <w:kern w:val="2"/>
          <w:sz w:val="36"/>
          <w:szCs w:val="44"/>
          <w:highlight w:val="none"/>
          <w:lang w:val="en-US" w:eastAsia="zh-CN" w:bidi="ar-SA"/>
        </w:rPr>
      </w:pPr>
      <w:r>
        <w:rPr>
          <w:rFonts w:hint="eastAsia" w:ascii="仿宋_GB2312" w:hAnsi="仿宋_GB2312" w:eastAsia="仿宋_GB2312" w:cs="仿宋_GB2312"/>
          <w:b w:val="0"/>
          <w:bCs w:val="0"/>
          <w:color w:val="auto"/>
          <w:kern w:val="2"/>
          <w:sz w:val="36"/>
          <w:szCs w:val="44"/>
          <w:highlight w:val="none"/>
          <w:lang w:val="en-US" w:eastAsia="zh-CN" w:bidi="ar-SA"/>
        </w:rPr>
        <w:t>二零二五年十月</w:t>
      </w:r>
    </w:p>
    <w:p w14:paraId="7A78080C">
      <w:pPr>
        <w:shd w:val="clear"/>
        <w:jc w:val="center"/>
        <w:rPr>
          <w:rFonts w:hint="default"/>
          <w:color w:val="auto"/>
          <w:highlight w:val="none"/>
          <w:lang w:val="en-US"/>
        </w:rPr>
      </w:pPr>
      <w:r>
        <w:rPr>
          <w:rFonts w:hint="eastAsia" w:ascii="仿宋_GB2312" w:hAnsi="仿宋_GB2312" w:eastAsia="仿宋_GB2312" w:cs="仿宋_GB2312"/>
          <w:b/>
          <w:bCs/>
          <w:color w:val="auto"/>
          <w:kern w:val="2"/>
          <w:sz w:val="40"/>
          <w:szCs w:val="48"/>
          <w:highlight w:val="none"/>
          <w:lang w:val="en-US" w:eastAsia="zh-CN" w:bidi="ar-SA"/>
        </w:rPr>
        <w:t>桐城医用同位素产业园基础设施项目项目建议书、可行性研究报告、项目规划报告、投资概算等服务采购项目（二次）比选公告</w:t>
      </w:r>
    </w:p>
    <w:p w14:paraId="26BAE01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安庆宇屹工程咨询有限公司</w:t>
      </w:r>
      <w:r>
        <w:rPr>
          <w:rFonts w:hint="eastAsia" w:ascii="仿宋_GB2312" w:hAnsi="仿宋_GB2312" w:eastAsia="仿宋_GB2312" w:cs="仿宋_GB2312"/>
          <w:color w:val="auto"/>
          <w:sz w:val="28"/>
          <w:szCs w:val="28"/>
          <w:highlight w:val="none"/>
        </w:rPr>
        <w:t>受</w:t>
      </w:r>
      <w:r>
        <w:rPr>
          <w:rFonts w:hint="eastAsia" w:ascii="仿宋_GB2312" w:hAnsi="仿宋_GB2312" w:eastAsia="仿宋_GB2312" w:cs="仿宋_GB2312"/>
          <w:color w:val="auto"/>
          <w:sz w:val="28"/>
          <w:szCs w:val="28"/>
          <w:highlight w:val="none"/>
          <w:lang w:val="en-US" w:eastAsia="zh-CN"/>
        </w:rPr>
        <w:t>桐城市新兴产业建设发展有限公司</w:t>
      </w:r>
      <w:r>
        <w:rPr>
          <w:rFonts w:hint="eastAsia" w:ascii="仿宋_GB2312" w:hAnsi="仿宋_GB2312" w:eastAsia="仿宋_GB2312" w:cs="仿宋_GB2312"/>
          <w:color w:val="auto"/>
          <w:sz w:val="28"/>
          <w:szCs w:val="28"/>
          <w:highlight w:val="none"/>
        </w:rPr>
        <w:t>委托，现对</w:t>
      </w:r>
      <w:r>
        <w:rPr>
          <w:rFonts w:hint="eastAsia" w:ascii="仿宋_GB2312" w:hAnsi="仿宋_GB2312" w:eastAsia="仿宋_GB2312" w:cs="仿宋_GB2312"/>
          <w:color w:val="auto"/>
          <w:sz w:val="28"/>
          <w:szCs w:val="28"/>
          <w:highlight w:val="none"/>
          <w:u w:val="single"/>
          <w:lang w:val="en-US" w:eastAsia="zh-CN"/>
        </w:rPr>
        <w:t>桐城医用同位素产业园基础设施项目项目建议书、可行性研究报告、项目规划报告、投资概算等服务采购项目（二次）</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u w:val="none"/>
          <w:lang w:val="en-US" w:eastAsia="zh-CN"/>
        </w:rPr>
        <w:t>比选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欢迎具备条件的</w:t>
      </w:r>
      <w:r>
        <w:rPr>
          <w:rFonts w:hint="eastAsia" w:ascii="仿宋_GB2312" w:hAnsi="仿宋_GB2312" w:eastAsia="仿宋_GB2312" w:cs="仿宋_GB2312"/>
          <w:color w:val="auto"/>
          <w:sz w:val="28"/>
          <w:szCs w:val="28"/>
          <w:highlight w:val="none"/>
          <w:lang w:val="en-US" w:eastAsia="zh-CN"/>
        </w:rPr>
        <w:t>投标单位</w:t>
      </w:r>
      <w:r>
        <w:rPr>
          <w:rFonts w:hint="eastAsia" w:ascii="仿宋_GB2312" w:hAnsi="仿宋_GB2312" w:eastAsia="仿宋_GB2312" w:cs="仿宋_GB2312"/>
          <w:color w:val="auto"/>
          <w:sz w:val="28"/>
          <w:szCs w:val="28"/>
          <w:highlight w:val="none"/>
        </w:rPr>
        <w:t>报名参与。</w:t>
      </w:r>
    </w:p>
    <w:p w14:paraId="262307B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4CC4A74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桐城医用同位素产业园基础设施项目项目建议书、可行性研究报告、项目规划报告、投资概算等服务采购项目（二次）</w:t>
      </w:r>
    </w:p>
    <w:p w14:paraId="68CB87F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.项目地点：桐城</w:t>
      </w:r>
      <w:r>
        <w:rPr>
          <w:rFonts w:hint="eastAsia" w:ascii="仿宋_GB2312" w:hAnsi="仿宋_GB2312" w:eastAsia="仿宋_GB2312" w:cs="仿宋_GB2312"/>
          <w:color w:val="auto"/>
          <w:sz w:val="28"/>
          <w:szCs w:val="28"/>
          <w:highlight w:val="none"/>
          <w:lang w:eastAsia="zh-CN"/>
        </w:rPr>
        <w:t>市</w:t>
      </w:r>
    </w:p>
    <w:p w14:paraId="1A51CFB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.项目单位：</w:t>
      </w:r>
      <w:r>
        <w:rPr>
          <w:rFonts w:hint="eastAsia" w:ascii="仿宋_GB2312" w:hAnsi="仿宋_GB2312" w:eastAsia="仿宋_GB2312" w:cs="仿宋_GB2312"/>
          <w:color w:val="auto"/>
          <w:sz w:val="28"/>
          <w:szCs w:val="28"/>
          <w:highlight w:val="none"/>
          <w:lang w:val="en-US" w:eastAsia="zh-CN"/>
        </w:rPr>
        <w:t>桐城市新兴产业建设发展有限公司</w:t>
      </w:r>
    </w:p>
    <w:p w14:paraId="391D88F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.项目概况：主要建设内容：甲类厂房4栋、甲类试剂仓库1栋、丙类仓库1栋、综合楼1栋、质检楼1栋、辅机楼1栋、中控楼1栋</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详见服务需求及技术要求。</w:t>
      </w:r>
    </w:p>
    <w:p w14:paraId="2AC8EF6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5.招标范围：桐城医用同位素产业园基础设施项目项目建议书、可行性研究报告、项目规划报告、投资概算等服务采购，详见服务需求及技术要求。</w:t>
      </w:r>
    </w:p>
    <w:p w14:paraId="383259B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.资金来源：自筹</w:t>
      </w:r>
      <w:r>
        <w:rPr>
          <w:rFonts w:hint="eastAsia" w:ascii="仿宋_GB2312" w:hAnsi="仿宋_GB2312" w:eastAsia="仿宋_GB2312" w:cs="仿宋_GB2312"/>
          <w:color w:val="auto"/>
          <w:sz w:val="28"/>
          <w:szCs w:val="28"/>
          <w:highlight w:val="none"/>
          <w:lang w:val="en-US" w:eastAsia="zh-CN"/>
        </w:rPr>
        <w:t>资金</w:t>
      </w:r>
    </w:p>
    <w:p w14:paraId="3BE7841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b/>
          <w:bCs/>
          <w:color w:val="FF000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7.最高限价：29万元</w:t>
      </w:r>
    </w:p>
    <w:p w14:paraId="6E17CA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8.服务期限：合同签订后，项目建议书20日历天、可行性研究报告、投资概算35日历天、项目规划报告35日历天完成所有服务内容，中标人配合招标人获得相关部门批复。</w:t>
      </w:r>
    </w:p>
    <w:p w14:paraId="67E152A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15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比选响应单位资格要求</w:t>
      </w:r>
    </w:p>
    <w:p w14:paraId="4999BD7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1.具备合法有效的营业执照；</w:t>
      </w:r>
    </w:p>
    <w:p w14:paraId="50ED3E9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2.响应人应当具有良好信誉。响应人及其法定代表人、拟任本项目的项目负责人未被列入全国法院失信被执行人名单（提供证明材料或做出承诺）；</w:t>
      </w:r>
    </w:p>
    <w:p w14:paraId="2596591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3.响应人特定资格要求：同时具备以下资质</w:t>
      </w:r>
    </w:p>
    <w:p w14:paraId="64E836B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3.1响应人应当具有化工石化医药行业工程设计甲级资质；</w:t>
      </w:r>
    </w:p>
    <w:p w14:paraId="267BE62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3.2响应人应当具有石化、化工、医药工程咨询甲级；</w:t>
      </w:r>
    </w:p>
    <w:p w14:paraId="685D94F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3.3响应人应当具有压力管道设计GC1和GC2级相关证书；</w:t>
      </w:r>
    </w:p>
    <w:p w14:paraId="5A8FF57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3.4响应人应当具有固定式压力容器规则设计相关证书；</w:t>
      </w:r>
    </w:p>
    <w:p w14:paraId="2BC6C53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4.项目负责人资格要求：须具有注册化工师证书或高级以上职称证书;</w:t>
      </w:r>
    </w:p>
    <w:p w14:paraId="379ADF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700" w:firstLineChars="2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5.本项目不接受联合体投标。</w:t>
      </w:r>
    </w:p>
    <w:p w14:paraId="4E50F77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三、</w:t>
      </w:r>
      <w:r>
        <w:rPr>
          <w:rFonts w:hint="eastAsia" w:ascii="宋体" w:hAnsi="宋体" w:eastAsia="宋体" w:cs="宋体"/>
          <w:b/>
          <w:bCs/>
          <w:color w:val="auto"/>
          <w:sz w:val="28"/>
          <w:szCs w:val="28"/>
          <w:highlight w:val="none"/>
          <w:lang w:val="en-US" w:eastAsia="zh-CN"/>
        </w:rPr>
        <w:t>比选保证金</w:t>
      </w:r>
    </w:p>
    <w:p w14:paraId="0973BDC6">
      <w:pPr>
        <w:pStyle w:val="39"/>
        <w:keepNext w:val="0"/>
        <w:keepLines w:val="0"/>
        <w:pageBreakBefore w:val="0"/>
        <w:shd w:val="clear"/>
        <w:kinsoku/>
        <w:wordWrap/>
        <w:overflowPunct/>
        <w:topLinePunct w:val="0"/>
        <w:autoSpaceDE/>
        <w:autoSpaceDN/>
        <w:bidi w:val="0"/>
        <w:adjustRightInd/>
        <w:snapToGrid/>
        <w:spacing w:line="360" w:lineRule="auto"/>
        <w:ind w:left="0" w:leftChars="0" w:firstLine="420" w:firstLineChars="150"/>
        <w:jc w:val="left"/>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color w:val="auto"/>
          <w:kern w:val="0"/>
          <w:sz w:val="28"/>
          <w:szCs w:val="28"/>
          <w:highlight w:val="none"/>
          <w:lang w:val="en-US" w:eastAsia="zh-CN" w:bidi="ar"/>
        </w:rPr>
        <w:t>本项目免收</w:t>
      </w:r>
      <w:r>
        <w:rPr>
          <w:rFonts w:hint="eastAsia" w:ascii="仿宋" w:hAnsi="仿宋" w:eastAsia="仿宋" w:cs="仿宋"/>
          <w:color w:val="auto"/>
          <w:kern w:val="0"/>
          <w:sz w:val="28"/>
          <w:szCs w:val="28"/>
          <w:highlight w:val="none"/>
          <w:lang w:val="en-US" w:eastAsia="zh-CN" w:bidi="ar"/>
        </w:rPr>
        <w:t>比选</w:t>
      </w:r>
      <w:r>
        <w:rPr>
          <w:rFonts w:ascii="仿宋" w:hAnsi="仿宋" w:eastAsia="仿宋" w:cs="仿宋"/>
          <w:color w:val="auto"/>
          <w:kern w:val="0"/>
          <w:sz w:val="28"/>
          <w:szCs w:val="28"/>
          <w:highlight w:val="none"/>
          <w:lang w:val="en-US" w:eastAsia="zh-CN" w:bidi="ar"/>
        </w:rPr>
        <w:t>保证金</w:t>
      </w:r>
      <w:r>
        <w:rPr>
          <w:rFonts w:hint="eastAsia" w:ascii="仿宋_GB2312" w:hAnsi="仿宋_GB2312" w:eastAsia="仿宋_GB2312" w:cs="仿宋_GB2312"/>
          <w:color w:val="auto"/>
          <w:kern w:val="2"/>
          <w:sz w:val="28"/>
          <w:szCs w:val="28"/>
          <w:highlight w:val="none"/>
          <w:lang w:val="en-US" w:eastAsia="zh-CN" w:bidi="ar-SA"/>
        </w:rPr>
        <w:t>。</w:t>
      </w:r>
    </w:p>
    <w:p w14:paraId="348C847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ascii="宋体" w:hAnsi="宋体" w:eastAsia="宋体" w:cs="宋体"/>
          <w:b/>
          <w:bCs/>
          <w:color w:val="auto"/>
          <w:sz w:val="28"/>
          <w:szCs w:val="28"/>
          <w:highlight w:val="none"/>
          <w:lang w:val="en-US" w:eastAsia="zh-CN"/>
        </w:rPr>
        <w:t>报名及获取比选文件</w:t>
      </w:r>
    </w:p>
    <w:p w14:paraId="28D74CA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5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报名方式：</w:t>
      </w:r>
    </w:p>
    <w:p w14:paraId="47015F5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投标人在开标会开始前，本项目响应时需携带法定代表人授权委托书、营业执照复印件、资质证书复印件并加盖公章进行符合性审查。时间：</w:t>
      </w:r>
      <w:r>
        <w:rPr>
          <w:rFonts w:hint="eastAsia" w:ascii="仿宋_GB2312" w:hAnsi="仿宋_GB2312" w:eastAsia="仿宋_GB2312" w:cs="仿宋_GB2312"/>
          <w:b/>
          <w:bCs/>
          <w:color w:val="auto"/>
          <w:sz w:val="28"/>
          <w:szCs w:val="28"/>
          <w:highlight w:val="none"/>
          <w:lang w:val="en-US" w:eastAsia="zh-CN"/>
        </w:rPr>
        <w:t>2025年10 月  14日17时00分前</w:t>
      </w:r>
      <w:r>
        <w:rPr>
          <w:rFonts w:hint="eastAsia" w:ascii="仿宋_GB2312" w:hAnsi="仿宋_GB2312" w:eastAsia="仿宋_GB2312" w:cs="仿宋_GB2312"/>
          <w:color w:val="auto"/>
          <w:sz w:val="28"/>
          <w:szCs w:val="28"/>
          <w:highlight w:val="none"/>
          <w:lang w:val="en-US" w:eastAsia="zh-CN"/>
        </w:rPr>
        <w:t>（节假日不报名），地址：安徽省桐城市昌平路文昌苑B区门面房宇屹咨询（上承地产3楼），联系电话：0556-6698168），也可通过邮寄的方式于报名截止前将报名资料寄至代理机构。</w:t>
      </w:r>
    </w:p>
    <w:p w14:paraId="47736708">
      <w:pPr>
        <w:spacing w:line="360" w:lineRule="auto"/>
        <w:rPr>
          <w:rFonts w:hint="eastAsia" w:ascii="仿宋_GB2312" w:hAnsi="仿宋_GB2312" w:eastAsia="仿宋_GB2312" w:cs="仿宋_GB2312"/>
          <w:color w:val="auto"/>
          <w:sz w:val="28"/>
          <w:szCs w:val="28"/>
          <w:highlight w:val="none"/>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rPr>
        <w:t>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09</w:t>
      </w:r>
      <w:r>
        <w:rPr>
          <w:rFonts w:hint="eastAsia" w:ascii="仿宋_GB2312" w:hAnsi="仿宋_GB2312" w:eastAsia="仿宋_GB2312" w:cs="仿宋_GB2312"/>
          <w:color w:val="auto"/>
          <w:sz w:val="28"/>
          <w:szCs w:val="28"/>
          <w:highlight w:val="none"/>
        </w:rPr>
        <w:t>日至2025年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日（北京时间）</w:t>
      </w:r>
    </w:p>
    <w:p w14:paraId="35EAC30D">
      <w:pPr>
        <w:spacing w:line="360" w:lineRule="auto"/>
        <w:rPr>
          <w:rFonts w:hint="eastAsia" w:ascii="仿宋_GB2312" w:hAnsi="仿宋_GB2312" w:eastAsia="仿宋_GB2312" w:cs="仿宋_GB2312"/>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获取比选文件</w:t>
      </w:r>
      <w:r>
        <w:rPr>
          <w:rFonts w:hint="eastAsia" w:ascii="仿宋_GB2312" w:hAnsi="仿宋_GB2312" w:eastAsia="仿宋_GB2312" w:cs="仿宋_GB2312"/>
          <w:color w:val="auto"/>
          <w:sz w:val="28"/>
          <w:szCs w:val="28"/>
          <w:highlight w:val="none"/>
        </w:rPr>
        <w:t>地</w:t>
      </w:r>
      <w:r>
        <w:rPr>
          <w:rFonts w:hint="eastAsia" w:ascii="仿宋_GB2312" w:hAnsi="仿宋_GB2312" w:eastAsia="仿宋_GB2312" w:cs="仿宋_GB2312"/>
          <w:color w:val="auto"/>
          <w:sz w:val="28"/>
          <w:szCs w:val="28"/>
          <w:highlight w:val="none"/>
          <w:lang w:eastAsia="zh-CN"/>
        </w:rPr>
        <w:t>点：</w:t>
      </w:r>
      <w:r>
        <w:rPr>
          <w:rFonts w:hint="eastAsia" w:ascii="仿宋_GB2312" w:hAnsi="仿宋_GB2312" w:eastAsia="仿宋_GB2312" w:cs="仿宋_GB2312"/>
          <w:color w:val="auto"/>
          <w:sz w:val="28"/>
          <w:szCs w:val="28"/>
          <w:highlight w:val="none"/>
        </w:rPr>
        <w:t>桐城经开区建设投资集团网站（http://www.tcjjj.cn/）</w:t>
      </w:r>
      <w:r>
        <w:rPr>
          <w:rFonts w:hint="eastAsia" w:ascii="仿宋_GB2312" w:hAnsi="仿宋_GB2312" w:eastAsia="仿宋_GB2312" w:cs="仿宋_GB2312"/>
          <w:color w:val="auto"/>
          <w:kern w:val="0"/>
          <w:sz w:val="28"/>
          <w:szCs w:val="28"/>
          <w:highlight w:val="none"/>
        </w:rPr>
        <w:t>自行下载</w:t>
      </w:r>
      <w:r>
        <w:rPr>
          <w:rFonts w:hint="eastAsia" w:ascii="仿宋_GB2312" w:hAnsi="仿宋_GB2312" w:eastAsia="仿宋_GB2312" w:cs="仿宋_GB2312"/>
          <w:color w:val="auto"/>
          <w:kern w:val="0"/>
          <w:sz w:val="28"/>
          <w:szCs w:val="28"/>
          <w:highlight w:val="none"/>
          <w:lang w:eastAsia="zh-CN"/>
        </w:rPr>
        <w:t>。</w:t>
      </w:r>
    </w:p>
    <w:p w14:paraId="731E7B1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开标</w:t>
      </w:r>
      <w:r>
        <w:rPr>
          <w:rFonts w:hint="eastAsia" w:ascii="宋体" w:hAnsi="宋体" w:eastAsia="宋体" w:cs="宋体"/>
          <w:b/>
          <w:bCs/>
          <w:color w:val="auto"/>
          <w:sz w:val="28"/>
          <w:szCs w:val="28"/>
          <w:highlight w:val="none"/>
        </w:rPr>
        <w:t>时间及地点</w:t>
      </w:r>
    </w:p>
    <w:p w14:paraId="0C2EDFE8">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1.开标时间：</w:t>
      </w:r>
      <w:r>
        <w:rPr>
          <w:rFonts w:hint="eastAsia" w:ascii="仿宋_GB2312" w:hAnsi="仿宋_GB2312" w:eastAsia="仿宋_GB2312" w:cs="仿宋_GB2312"/>
          <w:color w:val="auto"/>
          <w:kern w:val="2"/>
          <w:sz w:val="28"/>
          <w:szCs w:val="28"/>
          <w:highlight w:val="none"/>
          <w:lang w:val="en-US" w:eastAsia="zh-CN" w:bidi="ar-SA"/>
        </w:rPr>
        <w:t>2025年10月15日09时30分</w:t>
      </w:r>
      <w:r>
        <w:rPr>
          <w:rFonts w:hint="default" w:ascii="仿宋_GB2312" w:hAnsi="仿宋_GB2312" w:eastAsia="仿宋_GB2312" w:cs="仿宋_GB2312"/>
          <w:color w:val="auto"/>
          <w:kern w:val="2"/>
          <w:sz w:val="28"/>
          <w:szCs w:val="28"/>
          <w:highlight w:val="none"/>
          <w:lang w:val="en-US" w:eastAsia="zh-CN" w:bidi="ar-SA"/>
        </w:rPr>
        <w:t>（北京时间）</w:t>
      </w:r>
    </w:p>
    <w:p w14:paraId="1A2F1C48">
      <w:pPr>
        <w:pStyle w:val="1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20" w:firstLineChars="150"/>
        <w:rPr>
          <w:rFonts w:hint="eastAsia" w:ascii="仿宋_GB2312" w:hAnsi="仿宋_GB2312" w:eastAsia="仿宋_GB2312" w:cs="仿宋_GB2312"/>
          <w:color w:val="auto"/>
          <w:sz w:val="28"/>
          <w:szCs w:val="28"/>
          <w:highlight w:val="none"/>
          <w:lang w:val="en-US" w:eastAsia="zh-CN"/>
        </w:rPr>
      </w:pPr>
      <w:r>
        <w:rPr>
          <w:rFonts w:hint="default" w:ascii="仿宋_GB2312" w:hAnsi="仿宋_GB2312" w:eastAsia="仿宋_GB2312" w:cs="仿宋_GB2312"/>
          <w:color w:val="auto"/>
          <w:kern w:val="2"/>
          <w:sz w:val="28"/>
          <w:szCs w:val="28"/>
          <w:highlight w:val="none"/>
          <w:lang w:val="en-US" w:eastAsia="zh-CN" w:bidi="ar-SA"/>
        </w:rPr>
        <w:t>2.地点：桐城</w:t>
      </w:r>
      <w:r>
        <w:rPr>
          <w:rFonts w:hint="eastAsia" w:ascii="仿宋_GB2312" w:hAnsi="仿宋_GB2312" w:eastAsia="仿宋_GB2312" w:cs="仿宋_GB2312"/>
          <w:color w:val="auto"/>
          <w:kern w:val="2"/>
          <w:sz w:val="28"/>
          <w:szCs w:val="28"/>
          <w:highlight w:val="none"/>
          <w:lang w:val="en-US" w:eastAsia="zh-CN" w:bidi="ar-SA"/>
        </w:rPr>
        <w:t>经开区建设投资集团有限公司五</w:t>
      </w:r>
      <w:r>
        <w:rPr>
          <w:rFonts w:hint="default" w:ascii="仿宋_GB2312" w:hAnsi="仿宋_GB2312" w:eastAsia="仿宋_GB2312" w:cs="仿宋_GB2312"/>
          <w:color w:val="auto"/>
          <w:kern w:val="2"/>
          <w:sz w:val="28"/>
          <w:szCs w:val="28"/>
          <w:highlight w:val="none"/>
          <w:lang w:val="en-US" w:eastAsia="zh-CN" w:bidi="ar-SA"/>
        </w:rPr>
        <w:t>楼会议室</w:t>
      </w:r>
    </w:p>
    <w:p w14:paraId="3634C5AF">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2"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比选响应文件一正一副，并在密封袋上清楚的注明项目名称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备注：①资格审查部分正、副本，一起装袋密封，并在密封袋上清楚的注明“资格审查部分”；技术部分正、副本，一起装袋密封，并在密封袋上清楚的注明“技术部分”；商务部分正、副本，一起装袋密封，并在密封袋上清楚的注明“商务部分”。②响应文件均须逐页加盖实体公章，不得使用电子章代替；如盖电子章，视为无效标）。</w:t>
      </w:r>
      <w:r>
        <w:rPr>
          <w:rFonts w:hint="eastAsia" w:ascii="仿宋_GB2312" w:hAnsi="仿宋_GB2312" w:eastAsia="仿宋_GB2312" w:cs="仿宋_GB2312"/>
          <w:b/>
          <w:bCs/>
          <w:color w:val="auto"/>
          <w:sz w:val="28"/>
          <w:szCs w:val="28"/>
          <w:highlight w:val="none"/>
        </w:rPr>
        <w:t>比选响应文件必须胶订或线订形式装订成册</w:t>
      </w:r>
      <w:r>
        <w:rPr>
          <w:rFonts w:hint="eastAsia" w:ascii="仿宋_GB2312" w:hAnsi="仿宋_GB2312" w:eastAsia="仿宋_GB2312" w:cs="仿宋_GB2312"/>
          <w:color w:val="auto"/>
          <w:sz w:val="28"/>
          <w:szCs w:val="28"/>
          <w:highlight w:val="none"/>
        </w:rPr>
        <w:t>，活页装订（是指用卡条、抽杆夹、订书机等形式装订，使标书可以拆卸或者在翻动过程中易脱落的一种装订方式）的比选响应文件作无效响应处理。</w:t>
      </w:r>
    </w:p>
    <w:p w14:paraId="002150C1">
      <w:pPr>
        <w:pStyle w:val="15"/>
        <w:keepNext w:val="0"/>
        <w:keepLines w:val="0"/>
        <w:pageBreakBefore w:val="0"/>
        <w:widowControl w:val="0"/>
        <w:kinsoku/>
        <w:wordWrap/>
        <w:overflowPunct/>
        <w:topLinePunct w:val="0"/>
        <w:autoSpaceDE/>
        <w:autoSpaceDN/>
        <w:bidi w:val="0"/>
        <w:adjustRightInd/>
        <w:snapToGrid/>
        <w:spacing w:beforeAutospacing="0" w:afterAutospacing="0" w:line="500" w:lineRule="atLeast"/>
        <w:ind w:left="0" w:leftChars="0" w:firstLine="490" w:firstLineChars="175"/>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注：因特殊原因不能到场参加开标的，可与比选人或代理机构联系，通过邮寄的方式于开标前将比选响应文件寄至比选人或代理机构。自愿不参加开标会，视为认可开标一切程序与结果，并承担可能带来的风险。</w:t>
      </w:r>
    </w:p>
    <w:p w14:paraId="28F4E922">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3.比选有效期：90日历天（从比选响应文件</w:t>
      </w:r>
      <w:r>
        <w:rPr>
          <w:rFonts w:hint="eastAsia" w:ascii="仿宋_GB2312" w:hAnsi="仿宋_GB2312" w:eastAsia="仿宋_GB2312" w:cs="仿宋_GB2312"/>
          <w:color w:val="auto"/>
          <w:sz w:val="28"/>
          <w:szCs w:val="28"/>
          <w:highlight w:val="none"/>
        </w:rPr>
        <w:t>递交</w:t>
      </w:r>
      <w:r>
        <w:rPr>
          <w:rFonts w:hint="eastAsia" w:ascii="仿宋_GB2312" w:hAnsi="仿宋_GB2312" w:eastAsia="仿宋_GB2312" w:cs="仿宋_GB2312"/>
          <w:color w:val="auto"/>
          <w:sz w:val="28"/>
          <w:szCs w:val="28"/>
          <w:highlight w:val="none"/>
          <w:lang w:val="en-US" w:eastAsia="zh-CN"/>
        </w:rPr>
        <w:t>截止时间算起）</w:t>
      </w:r>
    </w:p>
    <w:p w14:paraId="52E45D32">
      <w:pPr>
        <w:spacing w:line="360" w:lineRule="auto"/>
        <w:rPr>
          <w:rFonts w:hint="default"/>
          <w:b/>
          <w:bCs/>
          <w:color w:val="auto"/>
          <w:highlight w:val="none"/>
          <w:lang w:val="en-US" w:eastAsia="zh-CN"/>
        </w:rPr>
      </w:pPr>
      <w:r>
        <w:rPr>
          <w:rFonts w:hint="eastAsia" w:ascii="宋体" w:hAnsi="宋体" w:eastAsia="宋体" w:cs="宋体"/>
          <w:b/>
          <w:bCs/>
          <w:color w:val="auto"/>
          <w:sz w:val="28"/>
          <w:szCs w:val="28"/>
          <w:highlight w:val="none"/>
          <w:lang w:val="en-US" w:eastAsia="zh-CN"/>
        </w:rPr>
        <w:t>六、代理服务费</w:t>
      </w:r>
      <w:r>
        <w:rPr>
          <w:rFonts w:hint="eastAsia" w:ascii="宋体" w:hAnsi="宋体" w:eastAsia="宋体" w:cs="宋体"/>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val="en-US" w:eastAsia="zh-CN" w:bidi="ar-SA"/>
        </w:rPr>
        <w:t>成交服务费的收取采用差额定率累进计费方式，以成交价为计算基数，按下表规定的服务招标标准收取（</w:t>
      </w:r>
      <w:r>
        <w:rPr>
          <w:rFonts w:hint="eastAsia" w:ascii="仿宋_GB2312" w:hAnsi="仿宋_GB2312" w:eastAsia="仿宋_GB2312" w:cs="仿宋_GB2312"/>
          <w:b/>
          <w:bCs/>
          <w:color w:val="auto"/>
          <w:kern w:val="0"/>
          <w:sz w:val="28"/>
          <w:szCs w:val="28"/>
          <w:highlight w:val="none"/>
          <w:lang w:val="en-US" w:eastAsia="zh-CN" w:bidi="ar-SA"/>
        </w:rPr>
        <w:t>不足3000元，按3000元收取</w:t>
      </w:r>
      <w:r>
        <w:rPr>
          <w:rFonts w:hint="eastAsia" w:ascii="仿宋_GB2312" w:hAnsi="仿宋_GB2312" w:eastAsia="仿宋_GB2312" w:cs="仿宋_GB2312"/>
          <w:color w:val="auto"/>
          <w:kern w:val="0"/>
          <w:sz w:val="28"/>
          <w:szCs w:val="28"/>
          <w:highlight w:val="none"/>
          <w:lang w:val="en-US" w:eastAsia="zh-CN" w:bidi="ar-SA"/>
        </w:rPr>
        <w:t>），</w:t>
      </w:r>
      <w:r>
        <w:rPr>
          <w:rFonts w:hint="eastAsia" w:ascii="仿宋_GB2312" w:hAnsi="仿宋_GB2312" w:eastAsia="仿宋_GB2312" w:cs="仿宋_GB2312"/>
          <w:color w:val="auto"/>
          <w:kern w:val="0"/>
          <w:sz w:val="28"/>
          <w:szCs w:val="28"/>
          <w:highlight w:val="none"/>
          <w:u w:val="none"/>
          <w:lang w:val="en-US" w:eastAsia="zh-CN" w:bidi="ar-SA"/>
        </w:rPr>
        <w:t>由中标人支付。</w:t>
      </w:r>
    </w:p>
    <w:tbl>
      <w:tblPr>
        <w:tblStyle w:val="19"/>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2285"/>
        <w:gridCol w:w="2285"/>
        <w:gridCol w:w="2285"/>
      </w:tblGrid>
      <w:tr w14:paraId="0D00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85" w:type="dxa"/>
            <mc:AlternateContent>
              <mc:Choice Requires="wpsCustomData">
                <wpsCustomData:diagonals>
                  <wpsCustomData:diagonal from="10000" to="30000">
                    <wpsCustomData:border w:val="single" w:color="auto" w:sz="4" w:space="0"/>
                  </wpsCustomData:diagonal>
                </wpsCustomData:diagonals>
              </mc:Choice>
            </mc:AlternateContent>
          </w:tcPr>
          <w:p w14:paraId="7152D569">
            <w:pPr>
              <w:pStyle w:val="6"/>
              <w:keepNext w:val="0"/>
              <w:keepLines w:val="0"/>
              <w:suppressLineNumbers w:val="0"/>
              <w:snapToGrid w:val="0"/>
              <w:spacing w:before="0" w:beforeAutospacing="0" w:afterAutospacing="0" w:line="240" w:lineRule="auto"/>
              <w:ind w:left="0" w:right="0"/>
              <w:rPr>
                <w:rFonts w:hint="eastAsia" w:ascii="仿宋_GB2312" w:hAnsi="仿宋_GB2312" w:eastAsia="仿宋_GB2312" w:cs="仿宋_GB2312"/>
                <w:b/>
                <w:bCs/>
                <w:color w:val="auto"/>
                <w:kern w:val="0"/>
                <w:sz w:val="28"/>
                <w:szCs w:val="28"/>
                <w:highlight w:val="none"/>
                <w:vertAlign w:val="baseline"/>
                <w:lang w:val="en-US" w:eastAsia="zh-CN" w:bidi="ar-SA"/>
              </w:rPr>
            </w:pPr>
          </w:p>
          <w:p w14:paraId="2A69C39A">
            <w:pPr>
              <w:pStyle w:val="6"/>
              <w:keepNext w:val="0"/>
              <w:keepLines w:val="0"/>
              <w:suppressLineNumbers w:val="0"/>
              <w:snapToGrid w:val="0"/>
              <w:spacing w:before="0" w:beforeAutospacing="0" w:afterAutospacing="0" w:line="240" w:lineRule="auto"/>
              <w:ind w:left="0" w:right="0"/>
              <mc:AlternateContent>
                <mc:Choice Requires="wpsCustomData">
                  <wpsCustomData:diagonalParaType/>
                </mc:Choice>
              </mc:AlternateContent>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中标价</w:t>
            </w:r>
          </w:p>
          <w:p w14:paraId="6F00DBB9">
            <w:pPr>
              <w:pStyle w:val="6"/>
              <w:keepNext w:val="0"/>
              <w:keepLines w:val="0"/>
              <w:suppressLineNumbers w:val="0"/>
              <w:spacing w:before="0" w:beforeAutospacing="0" w:afterAutospacing="0"/>
              <w:ind w:left="0" w:right="0" w:firstLine="281" w:firstLineChars="100"/>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费率</w:t>
            </w:r>
          </w:p>
        </w:tc>
        <w:tc>
          <w:tcPr>
            <w:tcW w:w="2285" w:type="dxa"/>
            <w:vAlign w:val="bottom"/>
          </w:tcPr>
          <w:p w14:paraId="611CA715">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货物招标</w:t>
            </w:r>
          </w:p>
        </w:tc>
        <w:tc>
          <w:tcPr>
            <w:tcW w:w="2285" w:type="dxa"/>
            <w:vAlign w:val="bottom"/>
          </w:tcPr>
          <w:p w14:paraId="5EC5B00B">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服务招标</w:t>
            </w:r>
          </w:p>
        </w:tc>
        <w:tc>
          <w:tcPr>
            <w:tcW w:w="2285" w:type="dxa"/>
            <w:vAlign w:val="bottom"/>
          </w:tcPr>
          <w:p w14:paraId="475AEC76">
            <w:pPr>
              <w:pStyle w:val="6"/>
              <w:keepNext w:val="0"/>
              <w:keepLines w:val="0"/>
              <w:suppressLineNumbers w:val="0"/>
              <w:spacing w:before="0" w:beforeAutospacing="0" w:afterAutospacing="0"/>
              <w:ind w:left="0" w:right="0"/>
              <w:jc w:val="center"/>
              <w:rPr>
                <w:rFonts w:hint="default" w:ascii="仿宋_GB2312" w:hAnsi="仿宋_GB2312" w:eastAsia="仿宋_GB2312" w:cs="仿宋_GB2312"/>
                <w:b/>
                <w:bCs/>
                <w:color w:val="auto"/>
                <w:kern w:val="0"/>
                <w:sz w:val="28"/>
                <w:szCs w:val="28"/>
                <w:highlight w:val="none"/>
                <w:vertAlign w:val="baseline"/>
                <w:lang w:val="en-US" w:eastAsia="zh-CN" w:bidi="ar-SA"/>
              </w:rPr>
            </w:pPr>
            <w:r>
              <w:rPr>
                <w:rFonts w:hint="eastAsia" w:ascii="仿宋_GB2312" w:hAnsi="仿宋_GB2312" w:eastAsia="仿宋_GB2312" w:cs="仿宋_GB2312"/>
                <w:b/>
                <w:bCs/>
                <w:color w:val="auto"/>
                <w:kern w:val="0"/>
                <w:sz w:val="28"/>
                <w:szCs w:val="28"/>
                <w:highlight w:val="none"/>
                <w:vertAlign w:val="baseline"/>
                <w:lang w:val="en-US" w:eastAsia="zh-CN" w:bidi="ar-SA"/>
              </w:rPr>
              <w:t>工程招标</w:t>
            </w:r>
          </w:p>
        </w:tc>
      </w:tr>
      <w:tr w14:paraId="5F7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85" w:type="dxa"/>
          </w:tcPr>
          <w:p w14:paraId="47B090DE">
            <w:pPr>
              <w:pStyle w:val="6"/>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100万元以下</w:t>
            </w:r>
          </w:p>
        </w:tc>
        <w:tc>
          <w:tcPr>
            <w:tcW w:w="2285" w:type="dxa"/>
            <w:vAlign w:val="bottom"/>
          </w:tcPr>
          <w:p w14:paraId="4500E5C9">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0A93F19C">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1.5%</w:t>
            </w:r>
          </w:p>
        </w:tc>
        <w:tc>
          <w:tcPr>
            <w:tcW w:w="2285" w:type="dxa"/>
            <w:vAlign w:val="bottom"/>
          </w:tcPr>
          <w:p w14:paraId="6E9DC41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w:t>
            </w:r>
          </w:p>
        </w:tc>
      </w:tr>
      <w:tr w14:paraId="1AC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13C33041">
            <w:pPr>
              <w:pStyle w:val="6"/>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100～500万元</w:t>
            </w:r>
          </w:p>
        </w:tc>
        <w:tc>
          <w:tcPr>
            <w:tcW w:w="2285" w:type="dxa"/>
            <w:vAlign w:val="bottom"/>
          </w:tcPr>
          <w:p w14:paraId="0019D843">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1.1%</w:t>
            </w:r>
          </w:p>
        </w:tc>
        <w:tc>
          <w:tcPr>
            <w:tcW w:w="2285" w:type="dxa"/>
            <w:vAlign w:val="bottom"/>
          </w:tcPr>
          <w:p w14:paraId="458ADB76">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05DB341">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0.7%</w:t>
            </w:r>
          </w:p>
        </w:tc>
      </w:tr>
      <w:tr w14:paraId="1B7C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85" w:type="dxa"/>
          </w:tcPr>
          <w:p w14:paraId="58618094">
            <w:pPr>
              <w:pStyle w:val="6"/>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500～1000万元</w:t>
            </w:r>
          </w:p>
        </w:tc>
        <w:tc>
          <w:tcPr>
            <w:tcW w:w="2285" w:type="dxa"/>
            <w:vAlign w:val="bottom"/>
          </w:tcPr>
          <w:p w14:paraId="2C86AEB1">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0.8%</w:t>
            </w:r>
          </w:p>
        </w:tc>
        <w:tc>
          <w:tcPr>
            <w:tcW w:w="2285" w:type="dxa"/>
            <w:vAlign w:val="bottom"/>
          </w:tcPr>
          <w:p w14:paraId="1B5EC8B5">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0.45%</w:t>
            </w:r>
          </w:p>
        </w:tc>
        <w:tc>
          <w:tcPr>
            <w:tcW w:w="2285" w:type="dxa"/>
            <w:vAlign w:val="bottom"/>
          </w:tcPr>
          <w:p w14:paraId="3767392E">
            <w:pPr>
              <w:pStyle w:val="6"/>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0.55%</w:t>
            </w:r>
          </w:p>
        </w:tc>
      </w:tr>
    </w:tbl>
    <w:p w14:paraId="5E0D5A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、公告媒介及期限</w:t>
      </w:r>
      <w:r>
        <w:rPr>
          <w:rFonts w:hint="eastAsia" w:ascii="宋体" w:hAnsi="宋体" w:eastAsia="宋体" w:cs="宋体"/>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次</w:t>
      </w:r>
      <w:r>
        <w:rPr>
          <w:rFonts w:hint="eastAsia" w:ascii="仿宋_GB2312" w:hAnsi="仿宋_GB2312" w:eastAsia="仿宋_GB2312" w:cs="仿宋_GB2312"/>
          <w:color w:val="auto"/>
          <w:sz w:val="28"/>
          <w:szCs w:val="28"/>
          <w:highlight w:val="none"/>
        </w:rPr>
        <w:t>公告在</w:t>
      </w:r>
      <w:r>
        <w:rPr>
          <w:rFonts w:hint="eastAsia" w:ascii="仿宋_GB2312" w:hAnsi="仿宋_GB2312" w:eastAsia="仿宋_GB2312" w:cs="仿宋_GB2312"/>
          <w:color w:val="auto"/>
          <w:sz w:val="28"/>
          <w:szCs w:val="28"/>
          <w:highlight w:val="none"/>
          <w:lang w:val="en-US" w:eastAsia="zh-CN"/>
        </w:rPr>
        <w:t>桐城经开区建设投资集团</w:t>
      </w:r>
      <w:r>
        <w:rPr>
          <w:rFonts w:hint="eastAsia" w:ascii="仿宋_GB2312" w:hAnsi="仿宋_GB2312" w:eastAsia="仿宋_GB2312" w:cs="仿宋_GB2312"/>
          <w:color w:val="auto"/>
          <w:sz w:val="28"/>
          <w:szCs w:val="28"/>
          <w:highlight w:val="none"/>
        </w:rPr>
        <w:t>网站（http://www.tcjjj.cn/）上发布，期限为自公告发布之日起</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个工作日。</w:t>
      </w:r>
    </w:p>
    <w:p w14:paraId="533B4F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八、联系方式</w:t>
      </w:r>
    </w:p>
    <w:p w14:paraId="69E73BBE">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1.比选人：桐城市新兴产业建设发展有限公司</w:t>
      </w:r>
    </w:p>
    <w:p w14:paraId="5DD80A7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地址：桐城市经济技术开发区东环路30号</w:t>
      </w:r>
    </w:p>
    <w:p w14:paraId="0F194E84">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联系人：吴先生    </w:t>
      </w:r>
    </w:p>
    <w:p w14:paraId="2F7682D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电话：18156216751</w:t>
      </w:r>
    </w:p>
    <w:p w14:paraId="4339FC63">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2.代理机构：安庆宇屹工程咨询有限公司</w:t>
      </w:r>
    </w:p>
    <w:p w14:paraId="7BF56BE0">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地址：桐城市昌平路文昌苑B区门面房</w:t>
      </w:r>
    </w:p>
    <w:p w14:paraId="20BDBC46">
      <w:pPr>
        <w:spacing w:line="360" w:lineRule="auto"/>
        <w:ind w:firstLine="420" w:firstLineChars="1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联系人：李工</w:t>
      </w:r>
    </w:p>
    <w:p w14:paraId="47257577">
      <w:pPr>
        <w:spacing w:line="360" w:lineRule="auto"/>
        <w:ind w:firstLine="420" w:firstLineChars="15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电话：0556-6698168</w:t>
      </w:r>
    </w:p>
    <w:p w14:paraId="675C8E1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、其他事项说明</w:t>
      </w:r>
    </w:p>
    <w:p w14:paraId="1E094404">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1、比选响应人编制比选响应文件、现场考察、递交比选响应文件等比选招标过程中所涉及的</w:t>
      </w:r>
      <w:r>
        <w:rPr>
          <w:rFonts w:hint="eastAsia" w:ascii="仿宋_GB2312" w:hAnsi="仿宋_GB2312" w:eastAsia="仿宋_GB2312" w:cs="仿宋_GB2312"/>
          <w:color w:val="auto"/>
          <w:kern w:val="0"/>
          <w:sz w:val="28"/>
          <w:szCs w:val="28"/>
          <w:highlight w:val="none"/>
          <w:u w:val="none"/>
          <w:lang w:val="en-US" w:eastAsia="zh-CN" w:bidi="ar-SA"/>
        </w:rPr>
        <w:t>招标代理费</w:t>
      </w:r>
      <w:r>
        <w:rPr>
          <w:rFonts w:hint="eastAsia" w:ascii="仿宋_GB2312" w:hAnsi="仿宋_GB2312" w:eastAsia="仿宋_GB2312" w:cs="仿宋_GB2312"/>
          <w:color w:val="auto"/>
          <w:kern w:val="0"/>
          <w:sz w:val="28"/>
          <w:szCs w:val="28"/>
          <w:highlight w:val="none"/>
          <w:u w:val="none"/>
          <w:lang w:val="en-US" w:eastAsia="zh-CN" w:bidi="ar-SA"/>
        </w:rPr>
        <w:t>由比选响应人自己承担。</w:t>
      </w:r>
    </w:p>
    <w:p w14:paraId="7BC37691">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2、报价说明</w:t>
      </w:r>
    </w:p>
    <w:p w14:paraId="526D4A5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2.1本项目最高限价：29万元，超过最高限价的报价无效。</w:t>
      </w:r>
    </w:p>
    <w:p w14:paraId="1E061E2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2.2比选响应人根据项目概况及企业自身经营状况，对本次项目所要求达到的服务内容和服务要求，在保证质量和不低于成本的情况下，结合企业自身情况及管理经验，对本项目进行报价。</w:t>
      </w:r>
    </w:p>
    <w:p w14:paraId="6A88F25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2.3比选响应人的报价应为完成本项目合同约定工作内容所发生的成本、利润、管理费、税金等费用。</w:t>
      </w:r>
    </w:p>
    <w:p w14:paraId="7361356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2.4比选响应人只能有一个报价，</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不接受任何有选择性的报价。</w:t>
      </w:r>
    </w:p>
    <w:p w14:paraId="66BF38F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2.5中选人所报价格将作为其与</w:t>
      </w:r>
      <w:r>
        <w:rPr>
          <w:rFonts w:hint="eastAsia" w:ascii="仿宋_GB2312" w:hAnsi="仿宋_GB2312" w:eastAsia="仿宋_GB2312" w:cs="仿宋_GB2312"/>
          <w:color w:val="auto"/>
          <w:sz w:val="28"/>
          <w:szCs w:val="28"/>
          <w:highlight w:val="none"/>
          <w:u w:val="none"/>
          <w:lang w:val="en-US" w:eastAsia="zh-CN"/>
        </w:rPr>
        <w:t>比选人</w:t>
      </w:r>
      <w:r>
        <w:rPr>
          <w:rFonts w:hint="eastAsia" w:ascii="仿宋_GB2312" w:hAnsi="仿宋_GB2312" w:eastAsia="仿宋_GB2312" w:cs="仿宋_GB2312"/>
          <w:color w:val="auto"/>
          <w:kern w:val="0"/>
          <w:sz w:val="28"/>
          <w:szCs w:val="28"/>
          <w:highlight w:val="none"/>
          <w:u w:val="none"/>
          <w:lang w:val="en-US" w:eastAsia="zh-CN" w:bidi="ar-SA"/>
        </w:rPr>
        <w:t>签订本服务合同及进行费用结算的依据。</w:t>
      </w:r>
    </w:p>
    <w:p w14:paraId="0596C9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u w:val="none"/>
          <w:lang w:val="en-US" w:eastAsia="zh-CN" w:bidi="ar-SA"/>
        </w:rPr>
        <w:t>比选响应人按比选文件规定格式和内容进行报价填报，正本一份，副本一份，一起装袋密封。正、副本内容应一致，当副本和正本不一致时，以正本为准，但副本和正本内容不一致造成的后果由比选响应人自行承担。所有响应文件应密封完好，封口处应加盖单位公章或法定代表人印章。不接受未按要求进行密封和标记的响应文件。</w:t>
      </w:r>
    </w:p>
    <w:p w14:paraId="6807555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4、开标</w:t>
      </w:r>
    </w:p>
    <w:p w14:paraId="7D63ECD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开标将按本公告中规定的时间、地点以公开方式进行。开标会由比选人代表、比选响应单位和有关方代表参加。有效文件开标前，比选人代表应检查比选响应文件的密封情况，确认无误后，由有关工作人员当众启封，宣读有效比选响应人名称、比选响应文件的报价和可能的澄清、说明等关键备注文件，以及比选人认为合适的其他内容。比选人做好开标记录，记录须由有关人员签字存档备查。</w:t>
      </w:r>
    </w:p>
    <w:p w14:paraId="1FF5F9A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5、评标</w:t>
      </w:r>
    </w:p>
    <w:p w14:paraId="1142CA58">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比选人负责组建评标小组。评标小组由比选人代表、技术等方面的人员组成，成员由三人或以上单数人员构成。</w:t>
      </w:r>
    </w:p>
    <w:p w14:paraId="02E2474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小组全面负责评标工作。依据公平、公正原则，评标小组应全面、充分地审阅比选响应文件，进行评审和比较，采用“综合评分法”得出评审结论。完成评标后，评标小组应提出书面评标报告，并由评标小组全体成员签字。</w:t>
      </w:r>
    </w:p>
    <w:p w14:paraId="585C3510">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及评标组的权利。在有充分理由的前提下，评标小组有选择或拒绝任何比选响应人中选的权利，以及宣布比选程序无效或拒绝所有的比选响应人的权利。为此，比选单位无须向受影响的比选响应人承担任何责任，也无须将这样做的理由通知受影响的比选响应人。</w:t>
      </w:r>
    </w:p>
    <w:p w14:paraId="4119D36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评标过程的保密性。凡属于审查、澄清、评价和比较的有关资料以及中选候选人等，评标小组及有关工作人员自始至终均不得向比选响应人或与其有关人员透露。在评标过程中，比选响应人不得通过任何单位和个人对比选单位施加任何影响，否则将会导致其比选响应被拒绝。</w:t>
      </w:r>
    </w:p>
    <w:p w14:paraId="478F82A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6、定标</w:t>
      </w:r>
    </w:p>
    <w:p w14:paraId="2F83A591">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比选人自评标结束之日起2个工作日内公示中选候选人，公示期为1个工作日。公示期收到评标结果异议的，按相关法规处理。</w:t>
      </w:r>
    </w:p>
    <w:p w14:paraId="7B203B9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7、中标通知书</w:t>
      </w:r>
    </w:p>
    <w:p w14:paraId="6D09FE7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比选人向中选人发出中标通知书。中选人应当在通知规定的时间、地点和比选人签订采购合同。</w:t>
      </w:r>
    </w:p>
    <w:p w14:paraId="0DF75C0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8、违约责任</w:t>
      </w:r>
    </w:p>
    <w:p w14:paraId="3E04DBA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中标通知书发出后，比选人改变中选结果的，或者中选人放弃中标的，应当依法承担法律责任。</w:t>
      </w:r>
    </w:p>
    <w:p w14:paraId="414FD43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十、签订合同</w:t>
      </w:r>
    </w:p>
    <w:p w14:paraId="6CC9B148">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1、比选人和中选人在规定的时间地点签订本项目采购合同。</w:t>
      </w:r>
    </w:p>
    <w:p w14:paraId="61B1718B">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line="360" w:lineRule="auto"/>
        <w:ind w:left="0" w:leftChars="0" w:firstLine="638" w:firstLineChars="228"/>
        <w:jc w:val="both"/>
        <w:textAlignment w:val="center"/>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2、投标须知、中选方的比选响应文件及评标过程中有关澄清、修改文件均应作为合同的附件，同具法律效力。</w:t>
      </w:r>
    </w:p>
    <w:p w14:paraId="01FF1B24">
      <w:pP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Fonts w:hint="eastAsia" w:ascii="仿宋_GB2312" w:hAnsi="仿宋_GB2312" w:eastAsia="仿宋_GB2312" w:cs="仿宋_GB2312"/>
          <w:color w:val="auto"/>
          <w:kern w:val="0"/>
          <w:sz w:val="28"/>
          <w:szCs w:val="28"/>
          <w:highlight w:val="none"/>
          <w:u w:val="none"/>
          <w:lang w:val="en-US" w:eastAsia="zh-CN" w:bidi="ar-SA"/>
        </w:rPr>
        <w:t>3、付款方式：</w:t>
      </w:r>
      <w:r>
        <w:rPr>
          <w:rFonts w:hint="eastAsia" w:ascii="仿宋_GB2312" w:hAnsi="仿宋_GB2312" w:eastAsia="仿宋_GB2312" w:cs="仿宋_GB2312"/>
          <w:color w:val="auto"/>
          <w:kern w:val="0"/>
          <w:sz w:val="28"/>
          <w:szCs w:val="28"/>
          <w:highlight w:val="none"/>
          <w:u w:val="none"/>
          <w:lang w:val="en-US" w:eastAsia="zh-CN" w:bidi="ar-SA"/>
        </w:rPr>
        <w:t>签订合同5个工作日内预付合同金额的20%，剩余80%每个服务内容完成后一次性付清。</w:t>
      </w:r>
      <w:r>
        <w:rPr>
          <w:rStyle w:val="21"/>
          <w:rFonts w:hint="eastAsia" w:ascii="仿宋_GB2312" w:hAnsi="仿宋_GB2312" w:eastAsia="仿宋_GB2312" w:cs="仿宋_GB2312"/>
          <w:color w:val="auto"/>
          <w:spacing w:val="8"/>
          <w:sz w:val="31"/>
          <w:szCs w:val="31"/>
          <w:highlight w:val="none"/>
          <w:shd w:val="clear" w:color="auto" w:fill="FFFFFF"/>
          <w:lang w:val="en-US" w:eastAsia="zh-CN"/>
        </w:rPr>
        <w:br w:type="page"/>
      </w:r>
    </w:p>
    <w:p w14:paraId="7DDB5F61">
      <w:pPr>
        <w:widowControl/>
        <w:spacing w:line="360" w:lineRule="auto"/>
        <w:jc w:val="center"/>
        <w:textAlignment w:val="center"/>
        <w:rPr>
          <w:rStyle w:val="21"/>
          <w:rFonts w:hint="eastAsia" w:ascii="宋体" w:hAnsi="宋体" w:cs="宋体"/>
          <w:color w:val="auto"/>
          <w:spacing w:val="8"/>
          <w:sz w:val="24"/>
          <w:highlight w:val="none"/>
          <w:shd w:val="clear" w:color="auto" w:fill="FFFFFF"/>
        </w:rPr>
      </w:pPr>
      <w:r>
        <w:rPr>
          <w:rFonts w:hint="eastAsia" w:ascii="宋体" w:hAnsi="宋体" w:cs="宋体"/>
          <w:b/>
          <w:bCs/>
          <w:color w:val="auto"/>
          <w:sz w:val="32"/>
          <w:szCs w:val="32"/>
          <w:highlight w:val="none"/>
        </w:rPr>
        <w:t>服务需求及技术要求</w:t>
      </w:r>
    </w:p>
    <w:p w14:paraId="779B4713">
      <w:pPr>
        <w:spacing w:line="460" w:lineRule="atLeast"/>
        <w:ind w:firstLine="361" w:firstLineChars="150"/>
        <w:rPr>
          <w:rFonts w:hint="eastAsia" w:ascii="宋体" w:hAnsi="宋体" w:cs="宋体"/>
          <w:b/>
          <w:bCs/>
          <w:color w:val="auto"/>
          <w:sz w:val="24"/>
          <w:highlight w:val="none"/>
        </w:rPr>
      </w:pPr>
      <w:r>
        <w:rPr>
          <w:rFonts w:hint="eastAsia" w:ascii="宋体" w:hAnsi="宋体" w:cs="宋体"/>
          <w:b/>
          <w:bCs/>
          <w:color w:val="auto"/>
          <w:sz w:val="24"/>
          <w:highlight w:val="none"/>
        </w:rPr>
        <w:t>一、项目概况</w:t>
      </w:r>
    </w:p>
    <w:p w14:paraId="5B5992D3">
      <w:pPr>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主要建设内容：甲类厂房4栋、甲类试剂仓库1栋、丙类仓库1栋、综合楼1栋、质检楼1栋、辅机楼1栋、中控楼1栋。拟建内容见下表。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37"/>
        <w:gridCol w:w="4891"/>
        <w:gridCol w:w="1901"/>
      </w:tblGrid>
      <w:tr w14:paraId="5BC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325D8532">
            <w:pPr>
              <w:keepNext w:val="0"/>
              <w:keepLines w:val="0"/>
              <w:suppressLineNumbers w:val="0"/>
              <w:spacing w:before="0" w:beforeAutospacing="0" w:after="0" w:afterAutospacing="0" w:line="460" w:lineRule="atLeast"/>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序</w:t>
            </w:r>
          </w:p>
          <w:p w14:paraId="7B506246">
            <w:pPr>
              <w:keepNext w:val="0"/>
              <w:keepLines w:val="0"/>
              <w:suppressLineNumbers w:val="0"/>
              <w:spacing w:before="0" w:beforeAutospacing="0" w:after="0" w:afterAutospacing="0" w:line="460" w:lineRule="atLeast"/>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号</w:t>
            </w:r>
          </w:p>
        </w:tc>
        <w:tc>
          <w:tcPr>
            <w:tcW w:w="1186" w:type="pct"/>
            <w:noWrap w:val="0"/>
            <w:vAlign w:val="center"/>
          </w:tcPr>
          <w:p w14:paraId="52BE8816">
            <w:pPr>
              <w:keepNext w:val="0"/>
              <w:keepLines w:val="0"/>
              <w:suppressLineNumbers w:val="0"/>
              <w:spacing w:before="0" w:beforeAutospacing="0" w:after="0" w:afterAutospacing="0" w:line="460" w:lineRule="atLeast"/>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拟建内容</w:t>
            </w:r>
          </w:p>
        </w:tc>
        <w:tc>
          <w:tcPr>
            <w:tcW w:w="2482" w:type="pct"/>
            <w:noWrap w:val="0"/>
            <w:vAlign w:val="center"/>
          </w:tcPr>
          <w:p w14:paraId="61373F01">
            <w:pPr>
              <w:keepNext w:val="0"/>
              <w:keepLines w:val="0"/>
              <w:suppressLineNumbers w:val="0"/>
              <w:spacing w:before="0" w:beforeAutospacing="0" w:after="0" w:afterAutospacing="0" w:line="460" w:lineRule="atLeast"/>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功能</w:t>
            </w:r>
          </w:p>
        </w:tc>
        <w:tc>
          <w:tcPr>
            <w:tcW w:w="965" w:type="pct"/>
            <w:noWrap w:val="0"/>
            <w:vAlign w:val="center"/>
          </w:tcPr>
          <w:p w14:paraId="67446D52">
            <w:pPr>
              <w:keepNext w:val="0"/>
              <w:keepLines w:val="0"/>
              <w:suppressLineNumbers w:val="0"/>
              <w:spacing w:before="0" w:beforeAutospacing="0" w:after="0" w:afterAutospacing="0" w:line="460" w:lineRule="atLeast"/>
              <w:ind w:left="0" w:right="0"/>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5B2A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6AA05769">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86" w:type="pct"/>
            <w:noWrap w:val="0"/>
            <w:vAlign w:val="center"/>
          </w:tcPr>
          <w:p w14:paraId="09A4A8F9">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A栋：辅料成品仓库</w:t>
            </w:r>
          </w:p>
        </w:tc>
        <w:tc>
          <w:tcPr>
            <w:tcW w:w="2482" w:type="pct"/>
            <w:noWrap w:val="0"/>
            <w:vAlign w:val="center"/>
          </w:tcPr>
          <w:p w14:paraId="13470527">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胶闪辅材和成品仓库</w:t>
            </w:r>
          </w:p>
        </w:tc>
        <w:tc>
          <w:tcPr>
            <w:tcW w:w="965" w:type="pct"/>
            <w:noWrap w:val="0"/>
            <w:vAlign w:val="center"/>
          </w:tcPr>
          <w:p w14:paraId="37572204">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14D8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1E863F2F">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86" w:type="pct"/>
            <w:noWrap w:val="0"/>
            <w:vAlign w:val="center"/>
          </w:tcPr>
          <w:p w14:paraId="412DDB81">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B栋：原料库</w:t>
            </w:r>
          </w:p>
        </w:tc>
        <w:tc>
          <w:tcPr>
            <w:tcW w:w="2482" w:type="pct"/>
            <w:noWrap w:val="0"/>
            <w:vAlign w:val="center"/>
          </w:tcPr>
          <w:p w14:paraId="3DA36425">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存放甲醇、乙醇、氨气、危废等</w:t>
            </w:r>
          </w:p>
        </w:tc>
        <w:tc>
          <w:tcPr>
            <w:tcW w:w="965" w:type="pct"/>
            <w:noWrap w:val="0"/>
            <w:vAlign w:val="center"/>
          </w:tcPr>
          <w:p w14:paraId="28F0AFB1">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01E9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337902B3">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86" w:type="pct"/>
            <w:noWrap w:val="0"/>
            <w:vAlign w:val="center"/>
          </w:tcPr>
          <w:p w14:paraId="39A75F6D">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C栋：碳13原料</w:t>
            </w:r>
          </w:p>
        </w:tc>
        <w:tc>
          <w:tcPr>
            <w:tcW w:w="2482" w:type="pct"/>
            <w:noWrap w:val="0"/>
            <w:vAlign w:val="center"/>
          </w:tcPr>
          <w:p w14:paraId="4CB84019">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C栋：一楼纯化+辅助区</w:t>
            </w:r>
          </w:p>
          <w:p w14:paraId="7CAB9250">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二楼合成线一条</w:t>
            </w:r>
          </w:p>
        </w:tc>
        <w:tc>
          <w:tcPr>
            <w:tcW w:w="965" w:type="pct"/>
            <w:noWrap w:val="0"/>
            <w:vAlign w:val="center"/>
          </w:tcPr>
          <w:p w14:paraId="73549F93">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3DDA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60583B88">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86" w:type="pct"/>
            <w:noWrap w:val="0"/>
            <w:vAlign w:val="center"/>
          </w:tcPr>
          <w:p w14:paraId="24504D34">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D栋：胶闪车间</w:t>
            </w:r>
          </w:p>
        </w:tc>
        <w:tc>
          <w:tcPr>
            <w:tcW w:w="2482" w:type="pct"/>
            <w:noWrap w:val="0"/>
            <w:vAlign w:val="center"/>
          </w:tcPr>
          <w:p w14:paraId="6DBB9451">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胶闪生产线一条</w:t>
            </w:r>
          </w:p>
        </w:tc>
        <w:tc>
          <w:tcPr>
            <w:tcW w:w="965" w:type="pct"/>
            <w:noWrap w:val="0"/>
            <w:vAlign w:val="center"/>
          </w:tcPr>
          <w:p w14:paraId="48B0074F">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7E0B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52A9802B">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186" w:type="pct"/>
            <w:noWrap w:val="0"/>
            <w:vAlign w:val="center"/>
          </w:tcPr>
          <w:p w14:paraId="2ED69F09">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E栋：原料药</w:t>
            </w:r>
          </w:p>
        </w:tc>
        <w:tc>
          <w:tcPr>
            <w:tcW w:w="2482" w:type="pct"/>
            <w:noWrap w:val="0"/>
            <w:vAlign w:val="center"/>
          </w:tcPr>
          <w:p w14:paraId="49D3184C">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L-BPA原料药、13C丙 酮 酸</w:t>
            </w:r>
          </w:p>
        </w:tc>
        <w:tc>
          <w:tcPr>
            <w:tcW w:w="965" w:type="pct"/>
            <w:noWrap w:val="0"/>
            <w:vAlign w:val="center"/>
          </w:tcPr>
          <w:p w14:paraId="0CDC06B8">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3CA4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2F7A72EF">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186" w:type="pct"/>
            <w:noWrap w:val="0"/>
            <w:vAlign w:val="center"/>
          </w:tcPr>
          <w:p w14:paraId="04E39ED2">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F栋：原料药</w:t>
            </w:r>
          </w:p>
        </w:tc>
        <w:tc>
          <w:tcPr>
            <w:tcW w:w="2482" w:type="pct"/>
            <w:noWrap w:val="0"/>
            <w:vAlign w:val="center"/>
          </w:tcPr>
          <w:p w14:paraId="43067421">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F栋替戈拉生、富马酸伏诺拉生原料药</w:t>
            </w:r>
          </w:p>
        </w:tc>
        <w:tc>
          <w:tcPr>
            <w:tcW w:w="965" w:type="pct"/>
            <w:noWrap w:val="0"/>
            <w:vAlign w:val="center"/>
          </w:tcPr>
          <w:p w14:paraId="14B3102F">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00DE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6CDDDE5E">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186" w:type="pct"/>
            <w:noWrap w:val="0"/>
            <w:vAlign w:val="center"/>
          </w:tcPr>
          <w:p w14:paraId="352389FC">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G栋：质检楼</w:t>
            </w:r>
          </w:p>
        </w:tc>
        <w:tc>
          <w:tcPr>
            <w:tcW w:w="2482" w:type="pct"/>
            <w:noWrap w:val="0"/>
            <w:vAlign w:val="center"/>
          </w:tcPr>
          <w:p w14:paraId="3452B18C">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实验室、仪器室、洁净区</w:t>
            </w:r>
          </w:p>
        </w:tc>
        <w:tc>
          <w:tcPr>
            <w:tcW w:w="965" w:type="pct"/>
            <w:noWrap w:val="0"/>
            <w:vAlign w:val="center"/>
          </w:tcPr>
          <w:p w14:paraId="073AE1A8">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333C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66" w:type="pct"/>
            <w:noWrap w:val="0"/>
            <w:vAlign w:val="center"/>
          </w:tcPr>
          <w:p w14:paraId="1F8DA382">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186" w:type="pct"/>
            <w:noWrap w:val="0"/>
            <w:vAlign w:val="center"/>
          </w:tcPr>
          <w:p w14:paraId="0F64DA79">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H栋：辅机楼</w:t>
            </w:r>
          </w:p>
        </w:tc>
        <w:tc>
          <w:tcPr>
            <w:tcW w:w="2482" w:type="pct"/>
            <w:noWrap w:val="0"/>
            <w:vAlign w:val="center"/>
          </w:tcPr>
          <w:p w14:paraId="47F8F1DA">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配电房、发电机房、机修间</w:t>
            </w:r>
          </w:p>
        </w:tc>
        <w:tc>
          <w:tcPr>
            <w:tcW w:w="965" w:type="pct"/>
            <w:noWrap w:val="0"/>
            <w:vAlign w:val="center"/>
          </w:tcPr>
          <w:p w14:paraId="1EB21517">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293C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0B0F2E8F">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186" w:type="pct"/>
            <w:noWrap w:val="0"/>
            <w:vAlign w:val="center"/>
          </w:tcPr>
          <w:p w14:paraId="4404D209">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I栋：中控室</w:t>
            </w:r>
          </w:p>
        </w:tc>
        <w:tc>
          <w:tcPr>
            <w:tcW w:w="2482" w:type="pct"/>
            <w:noWrap w:val="0"/>
            <w:vAlign w:val="center"/>
          </w:tcPr>
          <w:p w14:paraId="6841B7CD">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生产中控室</w:t>
            </w:r>
          </w:p>
        </w:tc>
        <w:tc>
          <w:tcPr>
            <w:tcW w:w="965" w:type="pct"/>
            <w:noWrap w:val="0"/>
            <w:vAlign w:val="center"/>
          </w:tcPr>
          <w:p w14:paraId="20451A7A">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6AE6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5EF1D6E0">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1186" w:type="pct"/>
            <w:noWrap w:val="0"/>
            <w:vAlign w:val="center"/>
          </w:tcPr>
          <w:p w14:paraId="5B40D58D">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J栋：综合楼</w:t>
            </w:r>
          </w:p>
          <w:p w14:paraId="2D625456">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p>
        </w:tc>
        <w:tc>
          <w:tcPr>
            <w:tcW w:w="2482" w:type="pct"/>
            <w:noWrap w:val="0"/>
            <w:vAlign w:val="center"/>
          </w:tcPr>
          <w:p w14:paraId="4F73998B">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一楼食堂，容纳300人就餐的食堂和餐厅、前台、综合库房</w:t>
            </w:r>
          </w:p>
          <w:p w14:paraId="5397591B">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二楼预留</w:t>
            </w:r>
          </w:p>
          <w:p w14:paraId="016597FE">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三至五楼会议室、办公室</w:t>
            </w:r>
          </w:p>
          <w:p w14:paraId="38CF334A">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办公楼含阶梯多功能厅（200～300人）</w:t>
            </w:r>
          </w:p>
        </w:tc>
        <w:tc>
          <w:tcPr>
            <w:tcW w:w="965" w:type="pct"/>
            <w:noWrap w:val="0"/>
            <w:vAlign w:val="center"/>
          </w:tcPr>
          <w:p w14:paraId="20729535">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329F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517EE9DE">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186" w:type="pct"/>
            <w:noWrap w:val="0"/>
            <w:vAlign w:val="center"/>
          </w:tcPr>
          <w:p w14:paraId="202ADCCE">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药品生产车间</w:t>
            </w:r>
          </w:p>
        </w:tc>
        <w:tc>
          <w:tcPr>
            <w:tcW w:w="2482" w:type="pct"/>
            <w:noWrap w:val="0"/>
            <w:vAlign w:val="center"/>
          </w:tcPr>
          <w:p w14:paraId="15908802">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仅建设药品生产厂房2栋</w:t>
            </w:r>
          </w:p>
        </w:tc>
        <w:tc>
          <w:tcPr>
            <w:tcW w:w="965" w:type="pct"/>
            <w:noWrap w:val="0"/>
            <w:vAlign w:val="center"/>
          </w:tcPr>
          <w:p w14:paraId="7DA98958">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3E59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197EE368">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1186" w:type="pct"/>
            <w:noWrap w:val="0"/>
            <w:vAlign w:val="center"/>
          </w:tcPr>
          <w:p w14:paraId="20BE0C68">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消防、安全</w:t>
            </w:r>
          </w:p>
        </w:tc>
        <w:tc>
          <w:tcPr>
            <w:tcW w:w="2482" w:type="pct"/>
            <w:noWrap w:val="0"/>
            <w:vAlign w:val="center"/>
          </w:tcPr>
          <w:p w14:paraId="46667BAA">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消防池、应急池</w:t>
            </w:r>
          </w:p>
        </w:tc>
        <w:tc>
          <w:tcPr>
            <w:tcW w:w="965" w:type="pct"/>
            <w:noWrap w:val="0"/>
            <w:vAlign w:val="center"/>
          </w:tcPr>
          <w:p w14:paraId="0223C334">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64F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3D809A9E">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186" w:type="pct"/>
            <w:noWrap w:val="0"/>
            <w:vAlign w:val="center"/>
          </w:tcPr>
          <w:p w14:paraId="55B450D6">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环保排放</w:t>
            </w:r>
          </w:p>
        </w:tc>
        <w:tc>
          <w:tcPr>
            <w:tcW w:w="2482" w:type="pct"/>
            <w:noWrap w:val="0"/>
            <w:vAlign w:val="center"/>
          </w:tcPr>
          <w:p w14:paraId="65926DFE">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污水池、污水处理设施、尾气处理设施</w:t>
            </w:r>
          </w:p>
        </w:tc>
        <w:tc>
          <w:tcPr>
            <w:tcW w:w="965" w:type="pct"/>
            <w:noWrap w:val="0"/>
            <w:vAlign w:val="center"/>
          </w:tcPr>
          <w:p w14:paraId="1CC92918">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r w14:paraId="205F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7EF346C1">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186" w:type="pct"/>
            <w:noWrap w:val="0"/>
            <w:vAlign w:val="center"/>
          </w:tcPr>
          <w:p w14:paraId="2634EC5C">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药品仓库</w:t>
            </w:r>
          </w:p>
        </w:tc>
        <w:tc>
          <w:tcPr>
            <w:tcW w:w="2482" w:type="pct"/>
            <w:noWrap w:val="0"/>
            <w:vAlign w:val="center"/>
          </w:tcPr>
          <w:p w14:paraId="441322BB">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药品仓库</w:t>
            </w:r>
          </w:p>
        </w:tc>
        <w:tc>
          <w:tcPr>
            <w:tcW w:w="965" w:type="pct"/>
            <w:noWrap w:val="0"/>
            <w:vAlign w:val="center"/>
          </w:tcPr>
          <w:p w14:paraId="6B665167">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预留</w:t>
            </w:r>
          </w:p>
        </w:tc>
      </w:tr>
      <w:tr w14:paraId="7DAA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noWrap w:val="0"/>
            <w:vAlign w:val="center"/>
          </w:tcPr>
          <w:p w14:paraId="29E84F74">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186" w:type="pct"/>
            <w:noWrap w:val="0"/>
            <w:vAlign w:val="center"/>
          </w:tcPr>
          <w:p w14:paraId="35D83DBE">
            <w:pPr>
              <w:keepNext w:val="0"/>
              <w:keepLines w:val="0"/>
              <w:suppressLineNumbers w:val="0"/>
              <w:spacing w:before="0" w:beforeAutospacing="0" w:after="0" w:afterAutospacing="0" w:line="460" w:lineRule="atLeast"/>
              <w:ind w:left="0" w:right="0"/>
              <w:jc w:val="left"/>
              <w:rPr>
                <w:rFonts w:hint="eastAsia" w:ascii="宋体" w:hAnsi="宋体" w:cs="宋体"/>
                <w:color w:val="auto"/>
                <w:sz w:val="24"/>
                <w:highlight w:val="none"/>
              </w:rPr>
            </w:pPr>
            <w:r>
              <w:rPr>
                <w:rFonts w:hint="eastAsia" w:ascii="宋体" w:hAnsi="宋体" w:cs="宋体"/>
                <w:color w:val="auto"/>
                <w:sz w:val="24"/>
                <w:highlight w:val="none"/>
              </w:rPr>
              <w:t>门岗</w:t>
            </w:r>
          </w:p>
        </w:tc>
        <w:tc>
          <w:tcPr>
            <w:tcW w:w="2482" w:type="pct"/>
            <w:noWrap w:val="0"/>
            <w:vAlign w:val="center"/>
          </w:tcPr>
          <w:p w14:paraId="41CCDC2B">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r>
              <w:rPr>
                <w:rFonts w:hint="eastAsia" w:ascii="宋体" w:hAnsi="宋体" w:cs="宋体"/>
                <w:color w:val="auto"/>
                <w:sz w:val="24"/>
                <w:highlight w:val="none"/>
              </w:rPr>
              <w:t>厂前区、物流门卫</w:t>
            </w:r>
          </w:p>
        </w:tc>
        <w:tc>
          <w:tcPr>
            <w:tcW w:w="965" w:type="pct"/>
            <w:noWrap w:val="0"/>
            <w:vAlign w:val="center"/>
          </w:tcPr>
          <w:p w14:paraId="7446EDB4">
            <w:pPr>
              <w:keepNext w:val="0"/>
              <w:keepLines w:val="0"/>
              <w:suppressLineNumbers w:val="0"/>
              <w:spacing w:before="0" w:beforeAutospacing="0" w:after="0" w:afterAutospacing="0" w:line="460" w:lineRule="atLeast"/>
              <w:ind w:left="0" w:right="0"/>
              <w:jc w:val="center"/>
              <w:rPr>
                <w:rFonts w:hint="eastAsia" w:ascii="宋体" w:hAnsi="宋体" w:cs="宋体"/>
                <w:color w:val="auto"/>
                <w:sz w:val="24"/>
                <w:highlight w:val="none"/>
              </w:rPr>
            </w:pPr>
          </w:p>
        </w:tc>
      </w:tr>
    </w:tbl>
    <w:p w14:paraId="562DB596">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ascii="宋体" w:hAnsi="宋体" w:cs="宋体"/>
          <w:color w:val="auto"/>
          <w:sz w:val="24"/>
          <w:highlight w:val="none"/>
        </w:rPr>
      </w:pPr>
      <w:r>
        <w:rPr>
          <w:rFonts w:hint="eastAsia" w:ascii="宋体" w:hAnsi="宋体" w:cs="宋体"/>
          <w:color w:val="auto"/>
          <w:sz w:val="24"/>
          <w:highlight w:val="none"/>
        </w:rPr>
        <w:t>注：1.本项目规划用地约50亩，其中约32亩属于三类工业用地，约18亩属于二类工业用地；</w:t>
      </w:r>
    </w:p>
    <w:p w14:paraId="4C76F00E">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2.该表中内容只是意向性建设内容，具体内容在可研编制过程中增减或调整。</w:t>
      </w:r>
    </w:p>
    <w:p w14:paraId="060F352E">
      <w:pPr>
        <w:keepNext w:val="0"/>
        <w:keepLines w:val="0"/>
        <w:pageBreakBefore w:val="0"/>
        <w:widowControl w:val="0"/>
        <w:kinsoku/>
        <w:wordWrap/>
        <w:overflowPunct/>
        <w:topLinePunct w:val="0"/>
        <w:autoSpaceDE/>
        <w:autoSpaceDN/>
        <w:bidi w:val="0"/>
        <w:adjustRightInd/>
        <w:snapToGrid/>
        <w:spacing w:line="420" w:lineRule="atLeast"/>
        <w:ind w:firstLine="361" w:firstLineChars="15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二、服务内容及范围</w:t>
      </w:r>
    </w:p>
    <w:p w14:paraId="25F32774">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（一）服务内容</w:t>
      </w:r>
    </w:p>
    <w:p w14:paraId="41D42DD0">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1、项目建议书、可行性研究报告、项目规划报告、投资概算</w:t>
      </w:r>
      <w:r>
        <w:rPr>
          <w:rFonts w:hint="eastAsia" w:ascii="宋体" w:hAnsi="宋体" w:cs="宋体"/>
          <w:strike w:val="0"/>
          <w:dstrike w:val="0"/>
          <w:color w:val="auto"/>
          <w:sz w:val="24"/>
          <w:highlight w:val="none"/>
        </w:rPr>
        <w:t>等相关</w:t>
      </w:r>
      <w:r>
        <w:rPr>
          <w:rFonts w:hint="eastAsia" w:ascii="宋体" w:hAnsi="宋体" w:cs="宋体"/>
          <w:strike w:val="0"/>
          <w:dstrike w:val="0"/>
          <w:color w:val="auto"/>
          <w:sz w:val="24"/>
          <w:highlight w:val="none"/>
          <w:lang w:val="en-US" w:eastAsia="zh-CN"/>
        </w:rPr>
        <w:t>技术咨询</w:t>
      </w:r>
      <w:r>
        <w:rPr>
          <w:rFonts w:hint="eastAsia" w:ascii="宋体" w:hAnsi="宋体" w:cs="宋体"/>
          <w:color w:val="auto"/>
          <w:sz w:val="24"/>
          <w:highlight w:val="none"/>
        </w:rPr>
        <w:t>服务内容。</w:t>
      </w:r>
    </w:p>
    <w:p w14:paraId="6686F2FD">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2、项目建议书不含土建结构具体内容，但要对土建结构进行简单描述，如几层、层高、建筑面积。</w:t>
      </w:r>
    </w:p>
    <w:p w14:paraId="251DDC23">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3、可行性研究报告分上下册，生产工艺设备，电气、电信、自控、暖通公辅、安全、消防、给排水、污水等设施为上册，土建结构内容为下册。</w:t>
      </w:r>
    </w:p>
    <w:p w14:paraId="5E7F4F7B">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、投资概算：可研深度的项目投资概算(不含生产工艺设备、但含土建结构、电气、电信、自控、暖通公辅、安全、消防、给排水、污水等设施设计及其他文本)+总平面布置。</w:t>
      </w:r>
    </w:p>
    <w:p w14:paraId="26F1CF37">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（二）质量要求</w:t>
      </w:r>
    </w:p>
    <w:p w14:paraId="23E5E0EE">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1. 项目建议书按照中核集团有限公司相关的规定要求编制。</w:t>
      </w:r>
    </w:p>
    <w:p w14:paraId="7DB618AF">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2 .可行性研究报告按照以下第（3）条的要求编制：</w:t>
      </w:r>
    </w:p>
    <w:p w14:paraId="315FDE4F">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（1）可行性研究报告参照中国石油和化学工业协会《化工投资项目可行性研究报告编制办法》（中石化联产发〔2012〕115号）；</w:t>
      </w:r>
    </w:p>
    <w:p w14:paraId="237DF704">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（2）《中国石油化工集团有限公司暨股份公司石油化工项目可行性研究报告编制规定》和《中国石油化工集团有限公司暨股份公司石油化工项目可行性研究投资估算编制办法》（2020年版）；</w:t>
      </w:r>
    </w:p>
    <w:p w14:paraId="473581EB">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（3）发改委〔2023〕304号文中《企业投资项目可行性研究报告编写参考大纲（2023版）》和《关于投资项目可行性研究报告编写大纲的说明（2023版）》；</w:t>
      </w:r>
    </w:p>
    <w:p w14:paraId="505BB4F8">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（4）科工计〔2015〕1198号文《国防科技工业固定资产投资项目可行性研究报告编制规定》。</w:t>
      </w:r>
    </w:p>
    <w:p w14:paraId="7113A944">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3.项目规划报告按照安庆市对项目规划报告的相关规定编制。</w:t>
      </w:r>
    </w:p>
    <w:p w14:paraId="7D93A978">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咨询文件核心内容修改或关键性内容修改不超过两次。</w:t>
      </w:r>
    </w:p>
    <w:p w14:paraId="40201996">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.中标单位交付设计文件后，按规定参加有关上级或监管机构的设计审查，并根据审查结论对设计做必要的调整、补充或修改。 </w:t>
      </w:r>
    </w:p>
    <w:p w14:paraId="5400E200">
      <w:pPr>
        <w:keepNext w:val="0"/>
        <w:keepLines w:val="0"/>
        <w:pageBreakBefore w:val="0"/>
        <w:widowControl w:val="0"/>
        <w:kinsoku/>
        <w:wordWrap/>
        <w:overflowPunct/>
        <w:topLinePunct w:val="0"/>
        <w:autoSpaceDE/>
        <w:autoSpaceDN/>
        <w:bidi w:val="0"/>
        <w:adjustRightInd/>
        <w:snapToGrid/>
        <w:spacing w:line="420" w:lineRule="atLeast"/>
        <w:ind w:firstLine="361" w:firstLineChars="15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三、服务要求</w:t>
      </w:r>
    </w:p>
    <w:p w14:paraId="1ABE75C9">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strike w:val="0"/>
          <w:dstrike w:val="0"/>
          <w:color w:val="auto"/>
          <w:sz w:val="24"/>
          <w:highlight w:val="none"/>
          <w:u w:val="none"/>
        </w:rPr>
      </w:pPr>
      <w:r>
        <w:rPr>
          <w:rFonts w:hint="eastAsia" w:ascii="宋体" w:hAnsi="宋体" w:cs="宋体"/>
          <w:color w:val="auto"/>
          <w:sz w:val="24"/>
          <w:highlight w:val="none"/>
        </w:rPr>
        <w:t>1.提交的成果文件应符合现行国家有关规范和相关主管部门制定的标准、深度、 规范、规程、工程造价控制等要求，并</w:t>
      </w:r>
      <w:r>
        <w:rPr>
          <w:rFonts w:hint="eastAsia" w:ascii="宋体" w:hAnsi="宋体" w:cs="宋体"/>
          <w:strike w:val="0"/>
          <w:dstrike w:val="0"/>
          <w:color w:val="auto"/>
          <w:sz w:val="24"/>
          <w:highlight w:val="none"/>
          <w:u w:val="none"/>
        </w:rPr>
        <w:t>必须</w:t>
      </w:r>
      <w:r>
        <w:rPr>
          <w:rFonts w:hint="eastAsia" w:ascii="宋体" w:hAnsi="宋体" w:cs="宋体"/>
          <w:strike w:val="0"/>
          <w:dstrike w:val="0"/>
          <w:color w:val="auto"/>
          <w:sz w:val="24"/>
          <w:highlight w:val="none"/>
          <w:u w:val="none"/>
          <w:lang w:val="en-US" w:eastAsia="zh-CN"/>
        </w:rPr>
        <w:t>配合发包人参加</w:t>
      </w:r>
      <w:r>
        <w:rPr>
          <w:rFonts w:hint="eastAsia" w:ascii="宋体" w:hAnsi="宋体" w:cs="宋体"/>
          <w:strike w:val="0"/>
          <w:dstrike w:val="0"/>
          <w:color w:val="auto"/>
          <w:sz w:val="24"/>
          <w:highlight w:val="none"/>
          <w:u w:val="none"/>
        </w:rPr>
        <w:t>有关部门审批。</w:t>
      </w:r>
    </w:p>
    <w:p w14:paraId="6B78681F">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.如相关审查、审批单位对</w:t>
      </w:r>
      <w:r>
        <w:rPr>
          <w:rFonts w:hint="eastAsia" w:ascii="宋体" w:hAnsi="宋体" w:cs="宋体"/>
          <w:strike w:val="0"/>
          <w:dstrike w:val="0"/>
          <w:color w:val="auto"/>
          <w:sz w:val="24"/>
          <w:highlight w:val="none"/>
          <w:lang w:val="en-US" w:eastAsia="zh-CN"/>
        </w:rPr>
        <w:t>咨询</w:t>
      </w:r>
      <w:r>
        <w:rPr>
          <w:rFonts w:hint="eastAsia" w:ascii="宋体" w:hAnsi="宋体" w:cs="宋体"/>
          <w:color w:val="auto"/>
          <w:sz w:val="24"/>
          <w:highlight w:val="none"/>
        </w:rPr>
        <w:t>项目进行现场查看、论证等，项目负责人或主要设计人员须陪同</w:t>
      </w:r>
      <w:r>
        <w:rPr>
          <w:rFonts w:hint="eastAsia" w:ascii="宋体" w:hAnsi="宋体" w:cs="宋体"/>
          <w:color w:val="auto"/>
          <w:sz w:val="24"/>
          <w:highlight w:val="none"/>
          <w:lang w:val="en-US" w:eastAsia="zh-CN"/>
        </w:rPr>
        <w:t>配合发包方</w:t>
      </w:r>
      <w:r>
        <w:rPr>
          <w:rFonts w:hint="eastAsia" w:ascii="宋体" w:hAnsi="宋体" w:cs="宋体"/>
          <w:color w:val="auto"/>
          <w:sz w:val="24"/>
          <w:highlight w:val="none"/>
        </w:rPr>
        <w:t>汇报。</w:t>
      </w:r>
    </w:p>
    <w:p w14:paraId="67F438E5">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成交人须按采购人要求提供各阶段中间成果文件和最终成果文件，同时满足采购人需求的份数。包括但不限于：项目建议书、可行性研究报告、项目规划报告及投资概算。所有成果文件均需同时提供电子格式（含 PDF、DOC、DWG 等版本）。</w:t>
      </w:r>
    </w:p>
    <w:p w14:paraId="3695EE7C">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.设计服务期内成交人需须随时响应</w:t>
      </w:r>
      <w:r>
        <w:rPr>
          <w:rFonts w:hint="eastAsia" w:ascii="宋体" w:hAnsi="宋体" w:cs="宋体"/>
          <w:strike w:val="0"/>
          <w:dstrike w:val="0"/>
          <w:color w:val="auto"/>
          <w:sz w:val="24"/>
          <w:highlight w:val="none"/>
          <w:lang w:val="en-US" w:eastAsia="zh-CN"/>
        </w:rPr>
        <w:t>发包方</w:t>
      </w:r>
      <w:r>
        <w:rPr>
          <w:rFonts w:hint="eastAsia" w:ascii="宋体" w:hAnsi="宋体" w:cs="宋体"/>
          <w:strike w:val="0"/>
          <w:dstrike w:val="0"/>
          <w:color w:val="auto"/>
          <w:sz w:val="24"/>
          <w:highlight w:val="none"/>
        </w:rPr>
        <w:t>的要求，配合</w:t>
      </w:r>
      <w:r>
        <w:rPr>
          <w:rFonts w:hint="eastAsia" w:ascii="宋体" w:hAnsi="宋体" w:cs="宋体"/>
          <w:strike w:val="0"/>
          <w:dstrike w:val="0"/>
          <w:color w:val="auto"/>
          <w:sz w:val="24"/>
          <w:highlight w:val="none"/>
          <w:lang w:val="en-US" w:eastAsia="zh-CN"/>
        </w:rPr>
        <w:t>发包方</w:t>
      </w:r>
      <w:r>
        <w:rPr>
          <w:rFonts w:hint="eastAsia" w:ascii="宋体" w:hAnsi="宋体" w:cs="宋体"/>
          <w:color w:val="auto"/>
          <w:sz w:val="24"/>
          <w:highlight w:val="none"/>
        </w:rPr>
        <w:t>的工作。</w:t>
      </w:r>
    </w:p>
    <w:p w14:paraId="57CD8CAA">
      <w:pPr>
        <w:keepNext w:val="0"/>
        <w:keepLines w:val="0"/>
        <w:pageBreakBefore w:val="0"/>
        <w:widowControl w:val="0"/>
        <w:kinsoku/>
        <w:wordWrap/>
        <w:overflowPunct/>
        <w:topLinePunct w:val="0"/>
        <w:autoSpaceDE/>
        <w:autoSpaceDN/>
        <w:bidi w:val="0"/>
        <w:adjustRightInd/>
        <w:snapToGrid/>
        <w:spacing w:line="420" w:lineRule="atLeast"/>
        <w:ind w:firstLine="360" w:firstLineChars="15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5.费用承担：本项目前期申报过程中，如涉及</w:t>
      </w:r>
      <w:r>
        <w:rPr>
          <w:rFonts w:hint="eastAsia" w:ascii="宋体" w:hAnsi="宋体" w:cs="宋体"/>
          <w:color w:val="auto"/>
          <w:sz w:val="24"/>
          <w:highlight w:val="none"/>
        </w:rPr>
        <w:t>项目建议书、可行性研究报告、项目规划报告、投资概算等</w:t>
      </w:r>
      <w:r>
        <w:rPr>
          <w:rFonts w:hint="eastAsia" w:ascii="宋体" w:hAnsi="宋体" w:cs="宋体"/>
          <w:color w:val="auto"/>
          <w:sz w:val="24"/>
          <w:highlight w:val="none"/>
          <w:lang w:val="en-US" w:eastAsia="zh-CN"/>
        </w:rPr>
        <w:t>相关评审，专家评审费用含在本次报价中。</w:t>
      </w:r>
    </w:p>
    <w:p w14:paraId="6DDC13F6">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p w14:paraId="6FAE79ED">
      <w:pPr>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评审方法</w:t>
      </w:r>
    </w:p>
    <w:p w14:paraId="3664C8B7">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p>
    <w:tbl>
      <w:tblPr>
        <w:tblStyle w:val="1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9"/>
        <w:gridCol w:w="7110"/>
      </w:tblGrid>
      <w:tr w14:paraId="33AE3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tblHeader/>
          <w:jc w:val="center"/>
        </w:trPr>
        <w:tc>
          <w:tcPr>
            <w:tcW w:w="750" w:type="dxa"/>
            <w:noWrap w:val="0"/>
            <w:vAlign w:val="center"/>
          </w:tcPr>
          <w:p w14:paraId="12FAD046">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序号</w:t>
            </w:r>
          </w:p>
        </w:tc>
        <w:tc>
          <w:tcPr>
            <w:tcW w:w="1339" w:type="dxa"/>
            <w:noWrap w:val="0"/>
            <w:vAlign w:val="center"/>
          </w:tcPr>
          <w:p w14:paraId="0CE6A020">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项目</w:t>
            </w:r>
          </w:p>
        </w:tc>
        <w:tc>
          <w:tcPr>
            <w:tcW w:w="7110" w:type="dxa"/>
            <w:noWrap w:val="0"/>
            <w:vAlign w:val="center"/>
          </w:tcPr>
          <w:p w14:paraId="395889B1">
            <w:pPr>
              <w:keepNext w:val="0"/>
              <w:keepLines w:val="0"/>
              <w:suppressLineNumbers w:val="0"/>
              <w:shd w:val="clear"/>
              <w:snapToGrid w:val="0"/>
              <w:spacing w:before="0" w:beforeAutospacing="0" w:after="0" w:afterAutospacing="0"/>
              <w:ind w:left="0" w:right="0"/>
              <w:jc w:val="center"/>
              <w:rPr>
                <w:rFonts w:hint="default" w:ascii="宋体" w:hAnsi="宋体" w:cs="宋体"/>
                <w:b/>
                <w:bCs/>
                <w:color w:val="auto"/>
                <w:spacing w:val="8"/>
                <w:sz w:val="24"/>
                <w:highlight w:val="none"/>
              </w:rPr>
            </w:pPr>
            <w:r>
              <w:rPr>
                <w:rFonts w:hint="eastAsia" w:ascii="宋体" w:hAnsi="宋体" w:cs="宋体"/>
                <w:b/>
                <w:bCs/>
                <w:color w:val="auto"/>
                <w:spacing w:val="8"/>
                <w:sz w:val="24"/>
                <w:highlight w:val="none"/>
              </w:rPr>
              <w:t>内   容</w:t>
            </w:r>
          </w:p>
        </w:tc>
      </w:tr>
      <w:tr w14:paraId="3FD19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750" w:type="dxa"/>
            <w:noWrap w:val="0"/>
            <w:vAlign w:val="center"/>
          </w:tcPr>
          <w:p w14:paraId="04C75F13">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1</w:t>
            </w:r>
          </w:p>
        </w:tc>
        <w:tc>
          <w:tcPr>
            <w:tcW w:w="1339" w:type="dxa"/>
            <w:noWrap w:val="0"/>
            <w:vAlign w:val="center"/>
          </w:tcPr>
          <w:p w14:paraId="1D1C623A">
            <w:pPr>
              <w:keepNext w:val="0"/>
              <w:keepLines w:val="0"/>
              <w:suppressLineNumbers w:val="0"/>
              <w:shd w:val="clear"/>
              <w:snapToGrid w:val="0"/>
              <w:spacing w:before="0" w:beforeAutospacing="0" w:after="0" w:afterAutospacing="0"/>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小组的建立</w:t>
            </w:r>
          </w:p>
        </w:tc>
        <w:tc>
          <w:tcPr>
            <w:tcW w:w="7110" w:type="dxa"/>
            <w:noWrap w:val="0"/>
            <w:vAlign w:val="center"/>
          </w:tcPr>
          <w:p w14:paraId="17DB1BD6">
            <w:pPr>
              <w:keepNext w:val="0"/>
              <w:keepLines w:val="0"/>
              <w:suppressLineNumbers w:val="0"/>
              <w:shd w:val="clear"/>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Cs/>
                <w:color w:val="auto"/>
                <w:spacing w:val="8"/>
                <w:sz w:val="24"/>
                <w:highlight w:val="none"/>
                <w:lang w:val="en-US" w:eastAsia="zh-CN"/>
              </w:rPr>
              <w:t>评审</w:t>
            </w:r>
            <w:r>
              <w:rPr>
                <w:rFonts w:hint="eastAsia" w:ascii="宋体" w:hAnsi="宋体" w:cs="宋体"/>
                <w:bCs/>
                <w:color w:val="auto"/>
                <w:spacing w:val="8"/>
                <w:sz w:val="24"/>
                <w:highlight w:val="none"/>
              </w:rPr>
              <w:t>小组由</w:t>
            </w:r>
            <w:r>
              <w:rPr>
                <w:rFonts w:hint="eastAsia" w:ascii="宋体" w:hAnsi="宋体" w:cs="宋体"/>
                <w:bCs/>
                <w:color w:val="auto"/>
                <w:spacing w:val="8"/>
                <w:sz w:val="24"/>
                <w:highlight w:val="none"/>
                <w:lang w:val="en-US" w:eastAsia="zh-CN"/>
              </w:rPr>
              <w:t>比选</w:t>
            </w:r>
            <w:r>
              <w:rPr>
                <w:rFonts w:hint="eastAsia" w:ascii="宋体" w:hAnsi="宋体" w:cs="宋体"/>
                <w:bCs/>
                <w:color w:val="auto"/>
                <w:spacing w:val="8"/>
                <w:sz w:val="24"/>
                <w:highlight w:val="none"/>
              </w:rPr>
              <w:t>人组建，</w:t>
            </w:r>
            <w:r>
              <w:rPr>
                <w:rFonts w:hint="eastAsia" w:ascii="宋体" w:hAnsi="宋体" w:cs="宋体"/>
                <w:color w:val="auto"/>
                <w:spacing w:val="8"/>
                <w:sz w:val="24"/>
                <w:highlight w:val="none"/>
              </w:rPr>
              <w:t>由3名或以上单数成员组成</w:t>
            </w:r>
          </w:p>
        </w:tc>
      </w:tr>
      <w:tr w14:paraId="0D3EA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9" w:hRule="atLeast"/>
          <w:jc w:val="center"/>
        </w:trPr>
        <w:tc>
          <w:tcPr>
            <w:tcW w:w="750" w:type="dxa"/>
            <w:noWrap w:val="0"/>
            <w:vAlign w:val="center"/>
          </w:tcPr>
          <w:p w14:paraId="331B0D05">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2</w:t>
            </w:r>
          </w:p>
        </w:tc>
        <w:tc>
          <w:tcPr>
            <w:tcW w:w="1339" w:type="dxa"/>
            <w:noWrap w:val="0"/>
            <w:vAlign w:val="center"/>
          </w:tcPr>
          <w:p w14:paraId="7DB6705F">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评审流程</w:t>
            </w:r>
          </w:p>
        </w:tc>
        <w:tc>
          <w:tcPr>
            <w:tcW w:w="7110" w:type="dxa"/>
            <w:noWrap w:val="0"/>
            <w:vAlign w:val="center"/>
          </w:tcPr>
          <w:p w14:paraId="1C41C974">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小组先开启资格审查部分进行评审，资格审查部分审查通过后（三家以上通过审查含三家）开启技术部分进行评审，技术部分评审结束后开启商务部分进行评审；依据公平、公正原则，评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小组应全面、充分地审阅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文件，进行评审和比较，采用“综合评分法”得出评价结论。完成评标后，评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小组应按照</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人综合得分由高到低排序提出书面评标报告，并由评</w:t>
            </w:r>
            <w:r>
              <w:rPr>
                <w:rFonts w:hint="eastAsia" w:ascii="宋体" w:hAnsi="宋体" w:cs="宋体"/>
                <w:color w:val="auto"/>
                <w:sz w:val="24"/>
                <w:highlight w:val="none"/>
                <w:lang w:val="en-US" w:eastAsia="zh-CN"/>
              </w:rPr>
              <w:t>审</w:t>
            </w:r>
            <w:r>
              <w:rPr>
                <w:rFonts w:hint="eastAsia" w:ascii="宋体" w:hAnsi="宋体" w:cs="宋体"/>
                <w:color w:val="auto"/>
                <w:sz w:val="24"/>
                <w:highlight w:val="none"/>
              </w:rPr>
              <w:t>小组全体成员签字。</w:t>
            </w:r>
          </w:p>
          <w:p w14:paraId="221F6A9F">
            <w:pPr>
              <w:keepNext w:val="0"/>
              <w:keepLines w:val="0"/>
              <w:suppressLineNumbers w:val="0"/>
              <w:shd w:val="clear"/>
              <w:spacing w:before="0" w:beforeAutospacing="0" w:after="0" w:afterAutospacing="0" w:line="336"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小组对</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文件进行资格评审，通过资格评审的报价为有效报价，未完全响应</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人按报价无效处理</w:t>
            </w:r>
            <w:r>
              <w:rPr>
                <w:rFonts w:hint="eastAsia" w:ascii="宋体" w:hAnsi="宋体" w:cs="宋体"/>
                <w:color w:val="auto"/>
                <w:sz w:val="24"/>
                <w:highlight w:val="none"/>
                <w:lang w:eastAsia="zh-CN"/>
              </w:rPr>
              <w:t>。</w:t>
            </w:r>
          </w:p>
          <w:p w14:paraId="122F9281">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sz w:val="24"/>
                <w:highlight w:val="none"/>
              </w:rPr>
              <w:t>3</w:t>
            </w:r>
            <w:r>
              <w:rPr>
                <w:rFonts w:hint="eastAsia" w:ascii="宋体" w:hAnsi="宋体" w:cs="宋体"/>
                <w:sz w:val="24"/>
                <w:highlight w:val="none"/>
              </w:rPr>
              <w:t>.本次评审实行百分制，资格评审完成后评审小组按综合得分由高到低进行排序，选出平均分最高的投标人作为中标候选人</w:t>
            </w:r>
            <w:r>
              <w:rPr>
                <w:rFonts w:hint="eastAsia" w:ascii="宋体" w:hAnsi="宋体" w:cs="宋体"/>
                <w:sz w:val="24"/>
                <w:highlight w:val="none"/>
                <w:lang w:eastAsia="zh-CN"/>
              </w:rPr>
              <w:t>，</w:t>
            </w:r>
            <w:r>
              <w:rPr>
                <w:rFonts w:hint="eastAsia" w:ascii="宋体" w:hAnsi="宋体" w:cs="宋体"/>
                <w:sz w:val="24"/>
                <w:highlight w:val="none"/>
                <w:lang w:val="en-US" w:eastAsia="zh-CN"/>
              </w:rPr>
              <w:t>如出现两家及以上投标人得分相同，则确定报价低的投标人为中标候选人；如得分与报价均相同，</w:t>
            </w:r>
            <w:r>
              <w:rPr>
                <w:rFonts w:hint="eastAsia" w:ascii="宋体" w:hAnsi="宋体" w:cs="宋体"/>
                <w:color w:val="auto"/>
                <w:sz w:val="24"/>
                <w:highlight w:val="none"/>
              </w:rPr>
              <w:t>则由招标人现场抽签决定预中标人</w:t>
            </w:r>
            <w:r>
              <w:rPr>
                <w:rFonts w:hint="eastAsia" w:ascii="宋体" w:hAnsi="宋体" w:cs="宋体"/>
                <w:sz w:val="24"/>
                <w:highlight w:val="none"/>
              </w:rPr>
              <w:t>。</w:t>
            </w:r>
          </w:p>
        </w:tc>
      </w:tr>
      <w:tr w14:paraId="74B85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50" w:type="dxa"/>
            <w:noWrap w:val="0"/>
            <w:vAlign w:val="center"/>
          </w:tcPr>
          <w:p w14:paraId="03EBC14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3</w:t>
            </w:r>
          </w:p>
        </w:tc>
        <w:tc>
          <w:tcPr>
            <w:tcW w:w="1339" w:type="dxa"/>
            <w:noWrap w:val="0"/>
            <w:vAlign w:val="center"/>
          </w:tcPr>
          <w:p w14:paraId="30704866">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资格评审</w:t>
            </w:r>
          </w:p>
        </w:tc>
        <w:tc>
          <w:tcPr>
            <w:tcW w:w="7110" w:type="dxa"/>
            <w:noWrap w:val="0"/>
            <w:vAlign w:val="center"/>
          </w:tcPr>
          <w:p w14:paraId="6CD3EA5C">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1.提供的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文件是否完整；</w:t>
            </w:r>
          </w:p>
          <w:p w14:paraId="10971677">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人是否按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文件要求提供资格证明文件；</w:t>
            </w:r>
          </w:p>
          <w:p w14:paraId="2145CF6B">
            <w:pPr>
              <w:keepNext w:val="0"/>
              <w:keepLines w:val="0"/>
              <w:suppressLineNumbers w:val="0"/>
              <w:shd w:val="clear"/>
              <w:spacing w:before="0" w:beforeAutospacing="0" w:after="0" w:afterAutospacing="0" w:line="336" w:lineRule="auto"/>
              <w:ind w:left="0" w:right="0"/>
              <w:rPr>
                <w:rFonts w:hint="default"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文件的要求密封；</w:t>
            </w:r>
          </w:p>
          <w:p w14:paraId="13BAD63E">
            <w:pPr>
              <w:keepNext w:val="0"/>
              <w:keepLines w:val="0"/>
              <w:suppressLineNumbers w:val="0"/>
              <w:shd w:val="clear"/>
              <w:spacing w:before="0" w:beforeAutospacing="0" w:after="0" w:afterAutospacing="0" w:line="336"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文件是否按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文件的规定签署</w:t>
            </w:r>
            <w:r>
              <w:rPr>
                <w:rFonts w:hint="eastAsia" w:ascii="宋体" w:hAnsi="宋体" w:cs="宋体"/>
                <w:color w:val="auto"/>
                <w:sz w:val="24"/>
                <w:highlight w:val="none"/>
                <w:lang w:eastAsia="zh-CN"/>
              </w:rPr>
              <w:t>。</w:t>
            </w:r>
          </w:p>
        </w:tc>
      </w:tr>
      <w:tr w14:paraId="2DD78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750" w:type="dxa"/>
            <w:noWrap w:val="0"/>
            <w:vAlign w:val="center"/>
          </w:tcPr>
          <w:p w14:paraId="020CA3B1">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Cs/>
                <w:color w:val="auto"/>
                <w:spacing w:val="8"/>
                <w:sz w:val="24"/>
                <w:highlight w:val="none"/>
              </w:rPr>
            </w:pPr>
            <w:r>
              <w:rPr>
                <w:rFonts w:hint="eastAsia" w:ascii="宋体" w:hAnsi="宋体" w:cs="宋体"/>
                <w:bCs/>
                <w:color w:val="auto"/>
                <w:spacing w:val="8"/>
                <w:sz w:val="24"/>
                <w:highlight w:val="none"/>
              </w:rPr>
              <w:t>4</w:t>
            </w:r>
          </w:p>
        </w:tc>
        <w:tc>
          <w:tcPr>
            <w:tcW w:w="1339" w:type="dxa"/>
            <w:noWrap w:val="0"/>
            <w:vAlign w:val="center"/>
          </w:tcPr>
          <w:p w14:paraId="24DBD7E7">
            <w:pPr>
              <w:keepNext w:val="0"/>
              <w:keepLines w:val="0"/>
              <w:suppressLineNumbers w:val="0"/>
              <w:shd w:val="clear"/>
              <w:snapToGrid w:val="0"/>
              <w:spacing w:before="0" w:beforeAutospacing="0" w:after="0" w:afterAutospacing="0" w:line="360" w:lineRule="auto"/>
              <w:ind w:left="0" w:right="0"/>
              <w:jc w:val="center"/>
              <w:rPr>
                <w:rFonts w:hint="default" w:ascii="宋体" w:hAnsi="宋体" w:cs="宋体"/>
                <w:b/>
                <w:bCs/>
                <w:color w:val="auto"/>
                <w:spacing w:val="8"/>
                <w:sz w:val="24"/>
                <w:highlight w:val="none"/>
              </w:rPr>
            </w:pPr>
            <w:r>
              <w:rPr>
                <w:rFonts w:hint="eastAsia" w:ascii="宋体" w:hAnsi="宋体" w:cs="宋体"/>
                <w:color w:val="auto"/>
                <w:spacing w:val="8"/>
                <w:sz w:val="24"/>
                <w:highlight w:val="none"/>
              </w:rPr>
              <w:t>视为无效响应文件</w:t>
            </w:r>
          </w:p>
        </w:tc>
        <w:tc>
          <w:tcPr>
            <w:tcW w:w="7110" w:type="dxa"/>
            <w:noWrap w:val="0"/>
            <w:vAlign w:val="center"/>
          </w:tcPr>
          <w:p w14:paraId="1E78E7AB">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
                <w:bCs/>
                <w:color w:val="auto"/>
                <w:spacing w:val="8"/>
                <w:sz w:val="24"/>
                <w:highlight w:val="none"/>
              </w:rPr>
            </w:pPr>
            <w:r>
              <w:rPr>
                <w:rFonts w:hint="eastAsia" w:ascii="宋体" w:hAnsi="宋体" w:cs="宋体"/>
                <w:bCs/>
                <w:color w:val="auto"/>
                <w:spacing w:val="8"/>
                <w:sz w:val="24"/>
                <w:highlight w:val="none"/>
              </w:rPr>
              <w:t>1.报价超过</w:t>
            </w:r>
            <w:r>
              <w:rPr>
                <w:rFonts w:hint="eastAsia" w:ascii="宋体" w:hAnsi="宋体" w:cs="宋体"/>
                <w:color w:val="auto"/>
                <w:spacing w:val="8"/>
                <w:sz w:val="24"/>
                <w:highlight w:val="none"/>
              </w:rPr>
              <w:t>最高限价；</w:t>
            </w:r>
          </w:p>
          <w:p w14:paraId="1D2B121F">
            <w:pPr>
              <w:keepNext w:val="0"/>
              <w:keepLines w:val="0"/>
              <w:suppressLineNumbers w:val="0"/>
              <w:shd w:val="clear"/>
              <w:adjustRightInd w:val="0"/>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rPr>
              <w:t>2.资格评审未通过的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w:t>
            </w:r>
          </w:p>
          <w:p w14:paraId="4D6B1C93">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3</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文件载明的项目管理成员为同一人；</w:t>
            </w:r>
          </w:p>
          <w:p w14:paraId="51D82A5D">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4</w:t>
            </w:r>
            <w:r>
              <w:rPr>
                <w:rFonts w:hint="eastAsia" w:ascii="宋体" w:hAnsi="宋体" w:cs="宋体"/>
                <w:bCs/>
                <w:color w:val="auto"/>
                <w:spacing w:val="8"/>
                <w:sz w:val="24"/>
                <w:highlight w:val="none"/>
              </w:rPr>
              <w:t>.不同</w:t>
            </w:r>
            <w:r>
              <w:rPr>
                <w:rFonts w:hint="eastAsia" w:ascii="宋体" w:hAnsi="宋体" w:cs="宋体"/>
                <w:bCs/>
                <w:color w:val="auto"/>
                <w:spacing w:val="8"/>
                <w:sz w:val="24"/>
                <w:highlight w:val="none"/>
                <w:lang w:val="en-US" w:eastAsia="zh-CN"/>
              </w:rPr>
              <w:t>响应</w:t>
            </w:r>
            <w:r>
              <w:rPr>
                <w:rFonts w:hint="eastAsia" w:ascii="宋体" w:hAnsi="宋体" w:cs="宋体"/>
                <w:bCs/>
                <w:color w:val="auto"/>
                <w:spacing w:val="8"/>
                <w:sz w:val="24"/>
                <w:highlight w:val="none"/>
              </w:rPr>
              <w:t>人的</w:t>
            </w:r>
            <w:r>
              <w:rPr>
                <w:rFonts w:hint="eastAsia" w:ascii="宋体" w:hAnsi="宋体" w:cs="宋体"/>
                <w:color w:val="auto"/>
                <w:sz w:val="24"/>
                <w:highlight w:val="none"/>
                <w:lang w:val="en-US" w:eastAsia="zh-CN"/>
              </w:rPr>
              <w:t>响应</w:t>
            </w:r>
            <w:r>
              <w:rPr>
                <w:rFonts w:hint="eastAsia" w:ascii="宋体" w:hAnsi="宋体" w:cs="宋体"/>
                <w:bCs/>
                <w:color w:val="auto"/>
                <w:spacing w:val="8"/>
                <w:sz w:val="24"/>
                <w:highlight w:val="none"/>
              </w:rPr>
              <w:t>文件相互混装；</w:t>
            </w:r>
          </w:p>
          <w:p w14:paraId="3B932509">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5</w:t>
            </w:r>
            <w:r>
              <w:rPr>
                <w:rFonts w:hint="eastAsia" w:ascii="宋体" w:hAnsi="宋体" w:cs="宋体"/>
                <w:bCs/>
                <w:color w:val="auto"/>
                <w:spacing w:val="8"/>
                <w:sz w:val="24"/>
                <w:highlight w:val="none"/>
              </w:rPr>
              <w:t>.使用伪造、变造的许可证件；</w:t>
            </w:r>
          </w:p>
          <w:p w14:paraId="372383F4">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6</w:t>
            </w:r>
            <w:r>
              <w:rPr>
                <w:rFonts w:hint="eastAsia" w:ascii="宋体" w:hAnsi="宋体" w:cs="宋体"/>
                <w:bCs/>
                <w:color w:val="auto"/>
                <w:spacing w:val="8"/>
                <w:sz w:val="24"/>
                <w:highlight w:val="none"/>
              </w:rPr>
              <w:t>.提供虚假的资质证照；</w:t>
            </w:r>
          </w:p>
          <w:p w14:paraId="6B9E7415">
            <w:pPr>
              <w:keepNext w:val="0"/>
              <w:keepLines w:val="0"/>
              <w:suppressLineNumbers w:val="0"/>
              <w:shd w:val="clear"/>
              <w:snapToGrid w:val="0"/>
              <w:spacing w:before="0" w:beforeAutospacing="0" w:after="0" w:afterAutospacing="0" w:line="336" w:lineRule="auto"/>
              <w:ind w:left="0" w:right="0"/>
              <w:jc w:val="left"/>
              <w:rPr>
                <w:rFonts w:hint="eastAsia"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7</w:t>
            </w:r>
            <w:r>
              <w:rPr>
                <w:rFonts w:hint="eastAsia" w:ascii="宋体" w:hAnsi="宋体" w:cs="宋体"/>
                <w:bCs/>
                <w:color w:val="auto"/>
                <w:spacing w:val="8"/>
                <w:sz w:val="24"/>
                <w:highlight w:val="none"/>
              </w:rPr>
              <w:t>.提供虚假的信用状况；</w:t>
            </w:r>
          </w:p>
          <w:p w14:paraId="29C12761">
            <w:pPr>
              <w:keepNext w:val="0"/>
              <w:keepLines w:val="0"/>
              <w:suppressLineNumbers w:val="0"/>
              <w:shd w:val="clear"/>
              <w:adjustRightInd w:val="0"/>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8</w:t>
            </w:r>
            <w:r>
              <w:rPr>
                <w:rFonts w:hint="eastAsia" w:ascii="宋体" w:hAnsi="宋体" w:cs="宋体"/>
                <w:bCs/>
                <w:color w:val="auto"/>
                <w:spacing w:val="8"/>
                <w:sz w:val="24"/>
                <w:highlight w:val="none"/>
              </w:rPr>
              <w:t>.提供虚假业绩；</w:t>
            </w:r>
          </w:p>
          <w:p w14:paraId="7950115C">
            <w:pPr>
              <w:keepNext w:val="0"/>
              <w:keepLines w:val="0"/>
              <w:suppressLineNumbers w:val="0"/>
              <w:shd w:val="clear"/>
              <w:snapToGrid w:val="0"/>
              <w:spacing w:before="0" w:beforeAutospacing="0" w:after="0" w:afterAutospacing="0" w:line="336" w:lineRule="auto"/>
              <w:ind w:left="0" w:right="0"/>
              <w:jc w:val="left"/>
              <w:rPr>
                <w:rFonts w:hint="default" w:ascii="宋体" w:hAnsi="宋体" w:cs="宋体"/>
                <w:bCs/>
                <w:color w:val="auto"/>
                <w:spacing w:val="8"/>
                <w:sz w:val="24"/>
                <w:highlight w:val="none"/>
              </w:rPr>
            </w:pPr>
            <w:r>
              <w:rPr>
                <w:rFonts w:hint="eastAsia" w:ascii="宋体" w:hAnsi="宋体" w:cs="宋体"/>
                <w:bCs/>
                <w:color w:val="auto"/>
                <w:spacing w:val="8"/>
                <w:sz w:val="24"/>
                <w:highlight w:val="none"/>
                <w:lang w:val="en-US" w:eastAsia="zh-CN"/>
              </w:rPr>
              <w:t>9</w:t>
            </w:r>
            <w:r>
              <w:rPr>
                <w:rFonts w:hint="eastAsia" w:ascii="宋体" w:hAnsi="宋体" w:cs="宋体"/>
                <w:bCs/>
                <w:color w:val="auto"/>
                <w:spacing w:val="8"/>
                <w:sz w:val="24"/>
                <w:highlight w:val="none"/>
              </w:rPr>
              <w:t>.其他弄虚作假的行为。</w:t>
            </w:r>
          </w:p>
        </w:tc>
      </w:tr>
    </w:tbl>
    <w:p w14:paraId="54407452">
      <w:pPr>
        <w:keepNext w:val="0"/>
        <w:keepLines w:val="0"/>
        <w:pageBreakBefore w:val="0"/>
        <w:widowControl/>
        <w:numPr>
          <w:ilvl w:val="0"/>
          <w:numId w:val="2"/>
        </w:numPr>
        <w:suppressLineNumbers w:val="0"/>
        <w:shd w:val="clear"/>
        <w:kinsoku/>
        <w:wordWrap/>
        <w:overflowPunct/>
        <w:topLinePunct w:val="0"/>
        <w:autoSpaceDE/>
        <w:autoSpaceDN/>
        <w:bidi w:val="0"/>
        <w:adjustRightInd/>
        <w:snapToGrid/>
        <w:spacing w:line="360" w:lineRule="auto"/>
        <w:jc w:val="center"/>
        <w:textAlignment w:val="center"/>
        <w:rPr>
          <w:rStyle w:val="21"/>
          <w:rFonts w:hint="eastAsia" w:ascii="仿宋_GB2312" w:hAnsi="仿宋_GB2312" w:eastAsia="仿宋_GB2312" w:cs="仿宋_GB2312"/>
          <w:color w:val="auto"/>
          <w:spacing w:val="8"/>
          <w:sz w:val="31"/>
          <w:szCs w:val="31"/>
          <w:highlight w:val="none"/>
          <w:shd w:val="clear" w:color="auto" w:fill="FFFFFF"/>
          <w:lang w:val="en-US" w:eastAsia="zh-CN"/>
        </w:rPr>
      </w:pPr>
      <w:r>
        <w:rPr>
          <w:rStyle w:val="21"/>
          <w:rFonts w:hint="eastAsia" w:ascii="仿宋_GB2312" w:hAnsi="仿宋_GB2312" w:eastAsia="仿宋_GB2312" w:cs="仿宋_GB2312"/>
          <w:color w:val="auto"/>
          <w:spacing w:val="8"/>
          <w:sz w:val="31"/>
          <w:szCs w:val="31"/>
          <w:highlight w:val="none"/>
          <w:shd w:val="clear" w:color="auto" w:fill="FFFFFF"/>
          <w:lang w:val="en-US" w:eastAsia="zh-CN"/>
        </w:rPr>
        <w:t>评分标准</w:t>
      </w:r>
    </w:p>
    <w:tbl>
      <w:tblPr>
        <w:tblStyle w:val="19"/>
        <w:tblpPr w:leftFromText="180" w:rightFromText="180" w:vertAnchor="text" w:horzAnchor="page" w:tblpXSpec="center" w:tblpY="215"/>
        <w:tblOverlap w:val="never"/>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88"/>
        <w:gridCol w:w="1420"/>
        <w:gridCol w:w="6691"/>
        <w:gridCol w:w="1258"/>
      </w:tblGrid>
      <w:tr w14:paraId="2925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85" w:type="pct"/>
            <w:shd w:val="clear" w:color="auto" w:fill="auto"/>
            <w:vAlign w:val="center"/>
          </w:tcPr>
          <w:p w14:paraId="0D1ABCF8">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8"/>
                <w:sz w:val="24"/>
                <w:szCs w:val="24"/>
                <w:highlight w:val="none"/>
              </w:rPr>
              <w:t>类别</w:t>
            </w:r>
          </w:p>
        </w:tc>
        <w:tc>
          <w:tcPr>
            <w:tcW w:w="654" w:type="pct"/>
            <w:shd w:val="clear" w:color="auto" w:fill="auto"/>
            <w:vAlign w:val="center"/>
          </w:tcPr>
          <w:p w14:paraId="18FAD6B1">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评分内容</w:t>
            </w:r>
          </w:p>
        </w:tc>
        <w:tc>
          <w:tcPr>
            <w:tcW w:w="3081" w:type="pct"/>
            <w:shd w:val="clear" w:color="auto" w:fill="auto"/>
            <w:vAlign w:val="center"/>
          </w:tcPr>
          <w:p w14:paraId="6DFAD449">
            <w:pPr>
              <w:pStyle w:val="47"/>
              <w:keepNext w:val="0"/>
              <w:keepLines w:val="0"/>
              <w:suppressLineNumbers w:val="0"/>
              <w:spacing w:before="118" w:beforeAutospacing="0" w:after="0" w:afterAutospacing="0" w:line="220"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评分标准</w:t>
            </w:r>
          </w:p>
        </w:tc>
        <w:tc>
          <w:tcPr>
            <w:tcW w:w="578" w:type="pct"/>
            <w:shd w:val="clear" w:color="auto" w:fill="auto"/>
            <w:vAlign w:val="center"/>
          </w:tcPr>
          <w:p w14:paraId="74172C0F">
            <w:pPr>
              <w:pStyle w:val="47"/>
              <w:keepNext w:val="0"/>
              <w:keepLines w:val="0"/>
              <w:suppressLineNumbers w:val="0"/>
              <w:spacing w:before="119" w:beforeAutospacing="0" w:after="0" w:afterAutospacing="0" w:line="219" w:lineRule="auto"/>
              <w:ind w:left="0" w:right="0"/>
              <w:jc w:val="center"/>
              <w:rPr>
                <w:rFonts w:hint="default"/>
                <w:b/>
                <w:bCs/>
                <w:snapToGrid w:val="0"/>
                <w:color w:val="000000"/>
                <w:kern w:val="0"/>
                <w:sz w:val="24"/>
                <w:szCs w:val="24"/>
                <w:highlight w:val="none"/>
              </w:rPr>
            </w:pPr>
            <w:r>
              <w:rPr>
                <w:rFonts w:hint="eastAsia"/>
                <w:b/>
                <w:bCs/>
                <w:spacing w:val="-5"/>
                <w:sz w:val="24"/>
                <w:szCs w:val="24"/>
                <w:highlight w:val="none"/>
              </w:rPr>
              <w:t>分值范围</w:t>
            </w:r>
          </w:p>
        </w:tc>
      </w:tr>
      <w:tr w14:paraId="2265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85" w:type="pct"/>
            <w:vMerge w:val="restart"/>
            <w:shd w:val="clear" w:color="auto" w:fill="auto"/>
            <w:vAlign w:val="center"/>
          </w:tcPr>
          <w:p w14:paraId="6ED184C5">
            <w:pPr>
              <w:pStyle w:val="47"/>
              <w:keepNext w:val="0"/>
              <w:keepLines w:val="0"/>
              <w:suppressLineNumbers w:val="0"/>
              <w:spacing w:before="78" w:beforeAutospacing="0" w:after="0" w:afterAutospacing="0" w:line="468" w:lineRule="exact"/>
              <w:ind w:left="0" w:right="0"/>
              <w:jc w:val="center"/>
              <w:rPr>
                <w:rFonts w:hint="default"/>
                <w:spacing w:val="-3"/>
                <w:position w:val="17"/>
                <w:sz w:val="24"/>
                <w:szCs w:val="24"/>
                <w:highlight w:val="none"/>
                <w:lang w:eastAsia="zh-CN"/>
              </w:rPr>
            </w:pPr>
            <w:r>
              <w:rPr>
                <w:rFonts w:hint="eastAsia"/>
                <w:spacing w:val="-3"/>
                <w:position w:val="17"/>
                <w:sz w:val="24"/>
                <w:szCs w:val="24"/>
                <w:highlight w:val="none"/>
              </w:rPr>
              <w:t>技术资信</w:t>
            </w:r>
            <w:r>
              <w:rPr>
                <w:rFonts w:hint="eastAsia"/>
                <w:spacing w:val="-3"/>
                <w:position w:val="17"/>
                <w:sz w:val="24"/>
                <w:szCs w:val="24"/>
                <w:highlight w:val="none"/>
                <w:lang w:eastAsia="zh-CN"/>
              </w:rPr>
              <w:t>分</w:t>
            </w:r>
          </w:p>
          <w:p w14:paraId="68814FFE">
            <w:pPr>
              <w:pStyle w:val="47"/>
              <w:keepNext w:val="0"/>
              <w:keepLines w:val="0"/>
              <w:suppressLineNumbers w:val="0"/>
              <w:spacing w:before="78" w:beforeAutospacing="0" w:after="0" w:afterAutospacing="0" w:line="468" w:lineRule="exact"/>
              <w:ind w:left="0" w:right="0"/>
              <w:jc w:val="center"/>
              <w:rPr>
                <w:rFonts w:hint="default"/>
                <w:snapToGrid w:val="0"/>
                <w:color w:val="000000"/>
                <w:spacing w:val="-3"/>
                <w:kern w:val="0"/>
                <w:position w:val="17"/>
                <w:highlight w:val="none"/>
              </w:rPr>
            </w:pPr>
            <w:r>
              <w:rPr>
                <w:rFonts w:hint="eastAsia"/>
                <w:snapToGrid w:val="0"/>
                <w:color w:val="000000"/>
                <w:spacing w:val="-3"/>
                <w:kern w:val="0"/>
                <w:position w:val="17"/>
                <w:sz w:val="24"/>
                <w:szCs w:val="24"/>
                <w:highlight w:val="none"/>
              </w:rPr>
              <w:t>（90分）</w:t>
            </w:r>
          </w:p>
        </w:tc>
        <w:tc>
          <w:tcPr>
            <w:tcW w:w="654" w:type="pct"/>
            <w:shd w:val="clear" w:color="auto" w:fill="auto"/>
            <w:vAlign w:val="center"/>
          </w:tcPr>
          <w:p w14:paraId="4B9A64D0">
            <w:pPr>
              <w:pStyle w:val="47"/>
              <w:keepNext w:val="0"/>
              <w:keepLines w:val="0"/>
              <w:suppressLineNumbers w:val="0"/>
              <w:spacing w:before="78" w:beforeAutospacing="0" w:after="0" w:afterAutospacing="0" w:line="219" w:lineRule="auto"/>
              <w:ind w:left="0" w:right="0"/>
              <w:rPr>
                <w:rFonts w:hint="default" w:ascii="宋体" w:hAnsi="宋体" w:cs="宋体"/>
                <w:highlight w:val="none"/>
              </w:rPr>
            </w:pPr>
            <w:r>
              <w:rPr>
                <w:rFonts w:hint="eastAsia" w:ascii="宋体" w:hAnsi="宋体" w:cs="宋体" w:eastAsiaTheme="minorEastAsia"/>
                <w:kern w:val="2"/>
                <w:sz w:val="24"/>
                <w:szCs w:val="24"/>
                <w:highlight w:val="none"/>
                <w:lang w:val="en-US" w:eastAsia="zh-CN" w:bidi="ar-SA"/>
              </w:rPr>
              <w:t>对本招标项目的理解</w:t>
            </w:r>
          </w:p>
        </w:tc>
        <w:tc>
          <w:tcPr>
            <w:tcW w:w="3081" w:type="pct"/>
            <w:shd w:val="clear" w:color="auto" w:fill="auto"/>
          </w:tcPr>
          <w:p w14:paraId="29599A05">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default" w:ascii="宋体" w:hAnsi="宋体" w:cs="宋体"/>
                <w:sz w:val="24"/>
                <w:szCs w:val="24"/>
                <w:highlight w:val="none"/>
              </w:rPr>
              <w:t>(1)对本项目理解准确、详细、全面</w:t>
            </w:r>
            <w:r>
              <w:rPr>
                <w:rFonts w:hint="eastAsia" w:ascii="宋体" w:hAnsi="宋体" w:cs="宋体"/>
                <w:sz w:val="24"/>
                <w:szCs w:val="24"/>
                <w:highlight w:val="none"/>
                <w:lang w:val="en-US" w:eastAsia="zh-CN"/>
              </w:rPr>
              <w:t>的</w:t>
            </w:r>
            <w:r>
              <w:rPr>
                <w:rFonts w:hint="default" w:ascii="宋体" w:hAnsi="宋体" w:cs="宋体"/>
                <w:sz w:val="24"/>
                <w:szCs w:val="24"/>
                <w:highlight w:val="none"/>
              </w:rPr>
              <w:t xml:space="preserve">，得 </w:t>
            </w:r>
            <w:r>
              <w:rPr>
                <w:rFonts w:hint="eastAsia" w:ascii="宋体" w:hAnsi="宋体" w:cs="宋体"/>
                <w:sz w:val="24"/>
                <w:szCs w:val="24"/>
                <w:highlight w:val="none"/>
                <w:lang w:val="en-US" w:eastAsia="zh-CN"/>
              </w:rPr>
              <w:t>6</w:t>
            </w:r>
            <w:r>
              <w:rPr>
                <w:rFonts w:hint="default" w:ascii="宋体" w:hAnsi="宋体" w:cs="宋体"/>
                <w:sz w:val="24"/>
                <w:szCs w:val="24"/>
                <w:highlight w:val="none"/>
              </w:rPr>
              <w:t xml:space="preserve"> 分；</w:t>
            </w:r>
          </w:p>
          <w:p w14:paraId="6DA2DC5B">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default" w:ascii="宋体" w:hAnsi="宋体" w:cs="宋体"/>
                <w:sz w:val="24"/>
                <w:szCs w:val="24"/>
                <w:highlight w:val="none"/>
              </w:rPr>
              <w:t>(2)对本项目理解基本准确，完整详细</w:t>
            </w:r>
            <w:r>
              <w:rPr>
                <w:rFonts w:hint="eastAsia" w:ascii="宋体" w:hAnsi="宋体" w:cs="宋体"/>
                <w:sz w:val="24"/>
                <w:szCs w:val="24"/>
                <w:highlight w:val="none"/>
                <w:lang w:val="en-US" w:eastAsia="zh-CN"/>
              </w:rPr>
              <w:t>的</w:t>
            </w:r>
            <w:r>
              <w:rPr>
                <w:rFonts w:hint="default" w:ascii="宋体" w:hAnsi="宋体" w:cs="宋体"/>
                <w:sz w:val="24"/>
                <w:szCs w:val="24"/>
                <w:highlight w:val="none"/>
              </w:rPr>
              <w:t xml:space="preserve">，得 </w:t>
            </w:r>
            <w:r>
              <w:rPr>
                <w:rFonts w:hint="eastAsia" w:ascii="宋体" w:hAnsi="宋体" w:cs="宋体"/>
                <w:sz w:val="24"/>
                <w:szCs w:val="24"/>
                <w:highlight w:val="none"/>
                <w:lang w:val="en-US" w:eastAsia="zh-CN"/>
              </w:rPr>
              <w:t>4</w:t>
            </w:r>
            <w:r>
              <w:rPr>
                <w:rFonts w:hint="default" w:ascii="宋体" w:hAnsi="宋体" w:cs="宋体"/>
                <w:sz w:val="24"/>
                <w:szCs w:val="24"/>
                <w:highlight w:val="none"/>
              </w:rPr>
              <w:t xml:space="preserve"> 分；</w:t>
            </w:r>
          </w:p>
          <w:p w14:paraId="100E3B70">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rPr>
            </w:pPr>
            <w:r>
              <w:rPr>
                <w:rFonts w:hint="eastAsia" w:ascii="宋体" w:hAnsi="宋体" w:cs="宋体"/>
                <w:sz w:val="24"/>
                <w:szCs w:val="24"/>
                <w:highlight w:val="none"/>
              </w:rPr>
              <w:t>(3)对本项目理解有待提升，有待改善</w:t>
            </w:r>
            <w:r>
              <w:rPr>
                <w:rFonts w:hint="eastAsia" w:ascii="宋体" w:hAnsi="宋体" w:cs="宋体"/>
                <w:sz w:val="24"/>
                <w:szCs w:val="24"/>
                <w:highlight w:val="none"/>
                <w:lang w:val="en-US" w:eastAsia="zh-CN"/>
              </w:rPr>
              <w:t>的</w:t>
            </w:r>
            <w:r>
              <w:rPr>
                <w:rFonts w:hint="eastAsia" w:ascii="宋体" w:hAnsi="宋体" w:cs="宋体"/>
                <w:sz w:val="24"/>
                <w:szCs w:val="24"/>
                <w:highlight w:val="none"/>
              </w:rPr>
              <w:t xml:space="preserve">,得 </w:t>
            </w:r>
            <w:r>
              <w:rPr>
                <w:rFonts w:hint="eastAsia" w:ascii="宋体" w:hAnsi="宋体" w:cs="宋体"/>
                <w:sz w:val="24"/>
                <w:szCs w:val="24"/>
                <w:highlight w:val="none"/>
                <w:lang w:val="en-US" w:eastAsia="zh-CN"/>
              </w:rPr>
              <w:t>2</w:t>
            </w:r>
            <w:r>
              <w:rPr>
                <w:rFonts w:hint="eastAsia" w:ascii="宋体" w:hAnsi="宋体" w:cs="宋体"/>
                <w:sz w:val="24"/>
                <w:szCs w:val="24"/>
                <w:highlight w:val="none"/>
              </w:rPr>
              <w:t xml:space="preserve"> 分；</w:t>
            </w:r>
          </w:p>
          <w:p w14:paraId="4BE16639">
            <w:pPr>
              <w:keepNext w:val="0"/>
              <w:keepLines w:val="0"/>
              <w:suppressLineNumbers w:val="0"/>
              <w:spacing w:before="0" w:beforeAutospacing="0" w:after="0" w:afterAutospacing="0" w:line="360" w:lineRule="auto"/>
              <w:ind w:left="0" w:right="0"/>
              <w:rPr>
                <w:rFonts w:hint="default" w:ascii="宋体" w:hAnsi="宋体" w:cs="宋体"/>
                <w:highlight w:val="none"/>
              </w:rPr>
            </w:pPr>
            <w:r>
              <w:rPr>
                <w:rFonts w:hint="eastAsia" w:ascii="宋体" w:hAnsi="宋体" w:cs="宋体"/>
                <w:sz w:val="24"/>
                <w:szCs w:val="24"/>
                <w:highlight w:val="none"/>
              </w:rPr>
              <w:t>(4）项目理解不可行或者未提供得 0 分。</w:t>
            </w:r>
          </w:p>
        </w:tc>
        <w:tc>
          <w:tcPr>
            <w:tcW w:w="578" w:type="pct"/>
            <w:shd w:val="clear" w:color="auto" w:fill="auto"/>
            <w:vAlign w:val="center"/>
          </w:tcPr>
          <w:p w14:paraId="0378EBAB">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r>
      <w:tr w14:paraId="72B9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85" w:type="pct"/>
            <w:vMerge w:val="continue"/>
            <w:shd w:val="clear" w:color="auto" w:fill="auto"/>
            <w:vAlign w:val="center"/>
          </w:tcPr>
          <w:p w14:paraId="63B139BE">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4" w:type="pct"/>
            <w:shd w:val="clear" w:color="auto" w:fill="auto"/>
            <w:vAlign w:val="center"/>
          </w:tcPr>
          <w:p w14:paraId="54D1E450">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风险评估及应对措施</w:t>
            </w:r>
          </w:p>
        </w:tc>
        <w:tc>
          <w:tcPr>
            <w:tcW w:w="3081" w:type="pct"/>
            <w:shd w:val="clear" w:color="auto" w:fill="auto"/>
          </w:tcPr>
          <w:p w14:paraId="271F9C35">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对供应商提供的风险评估及应对措施进行评审。</w:t>
            </w:r>
          </w:p>
          <w:p w14:paraId="10A97139">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（1）内容完整详实，表述清晰，措施有效，优于本项目采购需求的得</w:t>
            </w:r>
            <w:r>
              <w:rPr>
                <w:rFonts w:hint="eastAsia" w:cs="宋体" w:eastAsiaTheme="minorEastAsia"/>
                <w:kern w:val="2"/>
                <w:sz w:val="24"/>
                <w:szCs w:val="24"/>
                <w:highlight w:val="none"/>
                <w:lang w:val="en-US" w:eastAsia="zh-CN" w:bidi="ar-SA"/>
              </w:rPr>
              <w:t>6</w:t>
            </w:r>
            <w:r>
              <w:rPr>
                <w:rFonts w:hint="eastAsia" w:ascii="宋体" w:hAnsi="宋体" w:cs="宋体" w:eastAsiaTheme="minorEastAsia"/>
                <w:kern w:val="2"/>
                <w:sz w:val="24"/>
                <w:szCs w:val="24"/>
                <w:highlight w:val="none"/>
                <w:lang w:val="en-US" w:eastAsia="zh-CN" w:bidi="ar-SA"/>
              </w:rPr>
              <w:t>分；</w:t>
            </w:r>
          </w:p>
          <w:p w14:paraId="1FA41C3B">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（2）内容完整较详实，表述较清晰，基本满足本项目采购需求的得 </w:t>
            </w:r>
            <w:r>
              <w:rPr>
                <w:rFonts w:hint="eastAsia" w:cs="宋体" w:eastAsiaTheme="minorEastAsia"/>
                <w:kern w:val="2"/>
                <w:sz w:val="24"/>
                <w:szCs w:val="24"/>
                <w:highlight w:val="none"/>
                <w:lang w:val="en-US" w:eastAsia="zh-CN" w:bidi="ar-SA"/>
              </w:rPr>
              <w:t>4</w:t>
            </w:r>
            <w:r>
              <w:rPr>
                <w:rFonts w:hint="eastAsia" w:ascii="宋体" w:hAnsi="宋体" w:cs="宋体" w:eastAsiaTheme="minorEastAsia"/>
                <w:kern w:val="2"/>
                <w:sz w:val="24"/>
                <w:szCs w:val="24"/>
                <w:highlight w:val="none"/>
                <w:lang w:val="en-US" w:eastAsia="zh-CN" w:bidi="ar-SA"/>
              </w:rPr>
              <w:t xml:space="preserve"> 分；</w:t>
            </w:r>
          </w:p>
          <w:p w14:paraId="015E8D2F">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（3）内容、措施有待提升完善的得 </w:t>
            </w:r>
            <w:r>
              <w:rPr>
                <w:rFonts w:hint="eastAsia" w:cs="宋体" w:eastAsiaTheme="minorEastAsia"/>
                <w:kern w:val="2"/>
                <w:sz w:val="24"/>
                <w:szCs w:val="24"/>
                <w:highlight w:val="none"/>
                <w:lang w:val="en-US" w:eastAsia="zh-CN" w:bidi="ar-SA"/>
              </w:rPr>
              <w:t>2</w:t>
            </w:r>
            <w:r>
              <w:rPr>
                <w:rFonts w:hint="eastAsia" w:ascii="宋体" w:hAnsi="宋体" w:cs="宋体" w:eastAsiaTheme="minorEastAsia"/>
                <w:kern w:val="2"/>
                <w:sz w:val="24"/>
                <w:szCs w:val="24"/>
                <w:highlight w:val="none"/>
                <w:lang w:val="en-US" w:eastAsia="zh-CN" w:bidi="ar-SA"/>
              </w:rPr>
              <w:t xml:space="preserve"> 分；</w:t>
            </w:r>
          </w:p>
          <w:p w14:paraId="41594EDE">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（4）无相关内容或者不满足本项目需求的不得分。</w:t>
            </w:r>
          </w:p>
        </w:tc>
        <w:tc>
          <w:tcPr>
            <w:tcW w:w="578" w:type="pct"/>
            <w:shd w:val="clear" w:color="auto" w:fill="auto"/>
            <w:vAlign w:val="center"/>
          </w:tcPr>
          <w:p w14:paraId="443CFBCD">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6</w:t>
            </w:r>
            <w:r>
              <w:rPr>
                <w:rFonts w:hint="eastAsia" w:ascii="宋体" w:hAnsi="宋体" w:cs="宋体"/>
                <w:sz w:val="24"/>
                <w:szCs w:val="24"/>
                <w:highlight w:val="none"/>
              </w:rPr>
              <w:t>分</w:t>
            </w:r>
          </w:p>
        </w:tc>
      </w:tr>
      <w:tr w14:paraId="1B4C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shd w:val="clear" w:color="auto" w:fill="auto"/>
            <w:vAlign w:val="center"/>
          </w:tcPr>
          <w:p w14:paraId="1209EC1B">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4" w:type="pct"/>
            <w:shd w:val="clear" w:color="auto" w:fill="auto"/>
            <w:vAlign w:val="center"/>
          </w:tcPr>
          <w:p w14:paraId="1AC9626C">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项目重难点分析及</w:t>
            </w:r>
          </w:p>
          <w:p w14:paraId="1CBD3A22">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措施方案</w:t>
            </w:r>
          </w:p>
        </w:tc>
        <w:tc>
          <w:tcPr>
            <w:tcW w:w="3081" w:type="pct"/>
            <w:shd w:val="clear" w:color="auto" w:fill="auto"/>
          </w:tcPr>
          <w:p w14:paraId="5CB455A3">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对供应商提供的重难点分析、控制方案、实施办法和承诺进行评审。</w:t>
            </w:r>
          </w:p>
          <w:p w14:paraId="0ADA488F">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（1）内容完整详实，表述清晰，措施有效，优于本项目采购需求的得 </w:t>
            </w:r>
            <w:r>
              <w:rPr>
                <w:rFonts w:hint="eastAsia" w:cs="宋体" w:eastAsiaTheme="minorEastAsia"/>
                <w:kern w:val="2"/>
                <w:sz w:val="24"/>
                <w:szCs w:val="24"/>
                <w:highlight w:val="none"/>
                <w:lang w:val="en-US" w:eastAsia="zh-CN" w:bidi="ar-SA"/>
              </w:rPr>
              <w:t>6</w:t>
            </w:r>
            <w:r>
              <w:rPr>
                <w:rFonts w:hint="eastAsia" w:ascii="宋体" w:hAnsi="宋体" w:cs="宋体" w:eastAsiaTheme="minorEastAsia"/>
                <w:kern w:val="2"/>
                <w:sz w:val="24"/>
                <w:szCs w:val="24"/>
                <w:highlight w:val="none"/>
                <w:lang w:val="en-US" w:eastAsia="zh-CN" w:bidi="ar-SA"/>
              </w:rPr>
              <w:t>分；</w:t>
            </w:r>
          </w:p>
          <w:p w14:paraId="74F78170">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（2）内容完整较详实，表述较清晰，基本满足本项目采购需求的得 </w:t>
            </w:r>
            <w:r>
              <w:rPr>
                <w:rFonts w:hint="eastAsia" w:cs="宋体" w:eastAsiaTheme="minorEastAsia"/>
                <w:kern w:val="2"/>
                <w:sz w:val="24"/>
                <w:szCs w:val="24"/>
                <w:highlight w:val="none"/>
                <w:lang w:val="en-US" w:eastAsia="zh-CN" w:bidi="ar-SA"/>
              </w:rPr>
              <w:t>4</w:t>
            </w:r>
            <w:r>
              <w:rPr>
                <w:rFonts w:hint="eastAsia" w:ascii="宋体" w:hAnsi="宋体" w:cs="宋体" w:eastAsiaTheme="minorEastAsia"/>
                <w:kern w:val="2"/>
                <w:sz w:val="24"/>
                <w:szCs w:val="24"/>
                <w:highlight w:val="none"/>
                <w:lang w:val="en-US" w:eastAsia="zh-CN" w:bidi="ar-SA"/>
              </w:rPr>
              <w:t xml:space="preserve"> 分；</w:t>
            </w:r>
          </w:p>
          <w:p w14:paraId="30176B6C">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（3）内容、措施有待提升完善的得 </w:t>
            </w:r>
            <w:r>
              <w:rPr>
                <w:rFonts w:hint="eastAsia" w:cs="宋体" w:eastAsiaTheme="minorEastAsia"/>
                <w:kern w:val="2"/>
                <w:sz w:val="24"/>
                <w:szCs w:val="24"/>
                <w:highlight w:val="none"/>
                <w:lang w:val="en-US" w:eastAsia="zh-CN" w:bidi="ar-SA"/>
              </w:rPr>
              <w:t>2</w:t>
            </w:r>
            <w:r>
              <w:rPr>
                <w:rFonts w:hint="eastAsia" w:ascii="宋体" w:hAnsi="宋体" w:cs="宋体" w:eastAsiaTheme="minorEastAsia"/>
                <w:kern w:val="2"/>
                <w:sz w:val="24"/>
                <w:szCs w:val="24"/>
                <w:highlight w:val="none"/>
                <w:lang w:val="en-US" w:eastAsia="zh-CN" w:bidi="ar-SA"/>
              </w:rPr>
              <w:t xml:space="preserve"> 分；</w:t>
            </w:r>
          </w:p>
          <w:p w14:paraId="5FE6B5B8">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（4）无相关内容或者不满足本项目需求的不得分。</w:t>
            </w:r>
          </w:p>
        </w:tc>
        <w:tc>
          <w:tcPr>
            <w:tcW w:w="578" w:type="pct"/>
            <w:shd w:val="clear" w:color="auto" w:fill="auto"/>
            <w:vAlign w:val="center"/>
          </w:tcPr>
          <w:p w14:paraId="1E452988">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6</w:t>
            </w:r>
            <w:r>
              <w:rPr>
                <w:rFonts w:hint="eastAsia" w:ascii="宋体" w:hAnsi="宋体" w:cs="宋体"/>
                <w:sz w:val="24"/>
                <w:szCs w:val="24"/>
                <w:highlight w:val="none"/>
              </w:rPr>
              <w:t>分</w:t>
            </w:r>
          </w:p>
        </w:tc>
      </w:tr>
      <w:tr w14:paraId="74B4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shd w:val="clear" w:color="auto" w:fill="auto"/>
            <w:vAlign w:val="center"/>
          </w:tcPr>
          <w:p w14:paraId="6FDB83B6">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4" w:type="pct"/>
            <w:vMerge w:val="restart"/>
            <w:shd w:val="clear" w:color="auto" w:fill="auto"/>
            <w:vAlign w:val="center"/>
          </w:tcPr>
          <w:p w14:paraId="352D07A2">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质量保证措</w:t>
            </w:r>
          </w:p>
          <w:p w14:paraId="631E9E4D">
            <w:pPr>
              <w:pStyle w:val="47"/>
              <w:keepNext w:val="0"/>
              <w:keepLines w:val="0"/>
              <w:suppressLineNumbers w:val="0"/>
              <w:spacing w:before="78" w:beforeAutospacing="0" w:after="0" w:afterAutospacing="0" w:line="219" w:lineRule="auto"/>
              <w:ind w:left="0" w:right="0"/>
              <w:rPr>
                <w:rFonts w:hint="default"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施</w:t>
            </w:r>
            <w:r>
              <w:rPr>
                <w:rFonts w:hint="eastAsia" w:cs="宋体" w:eastAsiaTheme="minorEastAsia"/>
                <w:kern w:val="2"/>
                <w:sz w:val="24"/>
                <w:szCs w:val="24"/>
                <w:highlight w:val="none"/>
                <w:lang w:val="en-US" w:eastAsia="zh-CN" w:bidi="ar-SA"/>
              </w:rPr>
              <w:t>及进度安排</w:t>
            </w:r>
          </w:p>
        </w:tc>
        <w:tc>
          <w:tcPr>
            <w:tcW w:w="3081" w:type="pct"/>
            <w:shd w:val="clear" w:color="auto" w:fill="auto"/>
            <w:vAlign w:val="top"/>
          </w:tcPr>
          <w:p w14:paraId="06821692">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（1）质量保障措施准确、全面、切合实际，完整详细，可行性、实用性、针对性强 ，得 </w:t>
            </w:r>
            <w:r>
              <w:rPr>
                <w:rFonts w:hint="eastAsia" w:cs="宋体" w:eastAsiaTheme="minorEastAsia"/>
                <w:kern w:val="2"/>
                <w:sz w:val="24"/>
                <w:szCs w:val="24"/>
                <w:highlight w:val="none"/>
                <w:lang w:val="en-US" w:eastAsia="zh-CN" w:bidi="ar-SA"/>
              </w:rPr>
              <w:t>6</w:t>
            </w:r>
            <w:r>
              <w:rPr>
                <w:rFonts w:hint="eastAsia" w:ascii="宋体" w:hAnsi="宋体" w:cs="宋体" w:eastAsiaTheme="minorEastAsia"/>
                <w:kern w:val="2"/>
                <w:sz w:val="24"/>
                <w:szCs w:val="24"/>
                <w:highlight w:val="none"/>
                <w:lang w:val="en-US" w:eastAsia="zh-CN" w:bidi="ar-SA"/>
              </w:rPr>
              <w:t>分；</w:t>
            </w:r>
          </w:p>
          <w:p w14:paraId="433B6287">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（2）质量保障措施基本准确，完整详细,具有可行性、实用性和针对性，得 </w:t>
            </w:r>
            <w:r>
              <w:rPr>
                <w:rFonts w:hint="eastAsia" w:cs="宋体" w:eastAsiaTheme="minorEastAsia"/>
                <w:kern w:val="2"/>
                <w:sz w:val="24"/>
                <w:szCs w:val="24"/>
                <w:highlight w:val="none"/>
                <w:lang w:val="en-US" w:eastAsia="zh-CN" w:bidi="ar-SA"/>
              </w:rPr>
              <w:t>4</w:t>
            </w:r>
            <w:r>
              <w:rPr>
                <w:rFonts w:hint="eastAsia" w:ascii="宋体" w:hAnsi="宋体" w:cs="宋体" w:eastAsiaTheme="minorEastAsia"/>
                <w:kern w:val="2"/>
                <w:sz w:val="24"/>
                <w:szCs w:val="24"/>
                <w:highlight w:val="none"/>
                <w:lang w:val="en-US" w:eastAsia="zh-CN" w:bidi="ar-SA"/>
              </w:rPr>
              <w:t xml:space="preserve"> 分；</w:t>
            </w:r>
          </w:p>
          <w:p w14:paraId="52E9EB21">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（3）质量保障措施有待提升，可行性、实用性、针对性有待改善,得 </w:t>
            </w:r>
            <w:r>
              <w:rPr>
                <w:rFonts w:hint="eastAsia" w:cs="宋体" w:eastAsiaTheme="minorEastAsia"/>
                <w:kern w:val="2"/>
                <w:sz w:val="24"/>
                <w:szCs w:val="24"/>
                <w:highlight w:val="none"/>
                <w:lang w:val="en-US" w:eastAsia="zh-CN" w:bidi="ar-SA"/>
              </w:rPr>
              <w:t>2</w:t>
            </w:r>
            <w:r>
              <w:rPr>
                <w:rFonts w:hint="eastAsia" w:ascii="宋体" w:hAnsi="宋体" w:cs="宋体" w:eastAsiaTheme="minorEastAsia"/>
                <w:kern w:val="2"/>
                <w:sz w:val="24"/>
                <w:szCs w:val="24"/>
                <w:highlight w:val="none"/>
                <w:lang w:val="en-US" w:eastAsia="zh-CN" w:bidi="ar-SA"/>
              </w:rPr>
              <w:t xml:space="preserve"> 分；</w:t>
            </w:r>
          </w:p>
          <w:p w14:paraId="727431C0">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（4）质量保障措施不可行或者未提供得 0 分。</w:t>
            </w:r>
          </w:p>
        </w:tc>
        <w:tc>
          <w:tcPr>
            <w:tcW w:w="578" w:type="pct"/>
            <w:shd w:val="clear" w:color="auto" w:fill="auto"/>
            <w:vAlign w:val="center"/>
          </w:tcPr>
          <w:p w14:paraId="77D71A8B">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6</w:t>
            </w:r>
            <w:r>
              <w:rPr>
                <w:rFonts w:hint="eastAsia" w:ascii="宋体" w:hAnsi="宋体" w:cs="宋体"/>
                <w:sz w:val="24"/>
                <w:szCs w:val="24"/>
                <w:highlight w:val="none"/>
              </w:rPr>
              <w:t>分</w:t>
            </w:r>
          </w:p>
        </w:tc>
      </w:tr>
      <w:tr w14:paraId="0ADF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shd w:val="clear" w:color="auto" w:fill="auto"/>
            <w:vAlign w:val="center"/>
          </w:tcPr>
          <w:p w14:paraId="3615388D">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4" w:type="pct"/>
            <w:vMerge w:val="continue"/>
            <w:shd w:val="clear" w:color="auto" w:fill="auto"/>
            <w:vAlign w:val="center"/>
          </w:tcPr>
          <w:p w14:paraId="3D9E931E">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p>
        </w:tc>
        <w:tc>
          <w:tcPr>
            <w:tcW w:w="3081" w:type="pct"/>
            <w:shd w:val="clear" w:color="auto" w:fill="auto"/>
            <w:vAlign w:val="top"/>
          </w:tcPr>
          <w:p w14:paraId="69B4BBC1">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（1）进度安排及保证措施准确、全面、切合实际，完整详细，可行性、实用性、针对性强，得 </w:t>
            </w:r>
            <w:r>
              <w:rPr>
                <w:rFonts w:hint="eastAsia" w:cs="宋体" w:eastAsiaTheme="minorEastAsia"/>
                <w:kern w:val="2"/>
                <w:sz w:val="24"/>
                <w:szCs w:val="24"/>
                <w:highlight w:val="none"/>
                <w:lang w:val="en-US" w:eastAsia="zh-CN" w:bidi="ar-SA"/>
              </w:rPr>
              <w:t>6</w:t>
            </w:r>
            <w:r>
              <w:rPr>
                <w:rFonts w:hint="eastAsia" w:ascii="宋体" w:hAnsi="宋体" w:cs="宋体" w:eastAsiaTheme="minorEastAsia"/>
                <w:kern w:val="2"/>
                <w:sz w:val="24"/>
                <w:szCs w:val="24"/>
                <w:highlight w:val="none"/>
                <w:lang w:val="en-US" w:eastAsia="zh-CN" w:bidi="ar-SA"/>
              </w:rPr>
              <w:t xml:space="preserve"> 分；</w:t>
            </w:r>
          </w:p>
          <w:p w14:paraId="69D6EBB4">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（2）进度安排及保证措施基本准确，完整详细,具有可行性、实用性和针对性， 得 </w:t>
            </w:r>
            <w:r>
              <w:rPr>
                <w:rFonts w:hint="eastAsia" w:cs="宋体" w:eastAsiaTheme="minorEastAsia"/>
                <w:kern w:val="2"/>
                <w:sz w:val="24"/>
                <w:szCs w:val="24"/>
                <w:highlight w:val="none"/>
                <w:lang w:val="en-US" w:eastAsia="zh-CN" w:bidi="ar-SA"/>
              </w:rPr>
              <w:t>4</w:t>
            </w:r>
            <w:r>
              <w:rPr>
                <w:rFonts w:hint="eastAsia" w:ascii="宋体" w:hAnsi="宋体" w:cs="宋体" w:eastAsiaTheme="minorEastAsia"/>
                <w:kern w:val="2"/>
                <w:sz w:val="24"/>
                <w:szCs w:val="24"/>
                <w:highlight w:val="none"/>
                <w:lang w:val="en-US" w:eastAsia="zh-CN" w:bidi="ar-SA"/>
              </w:rPr>
              <w:t xml:space="preserve"> 分；</w:t>
            </w:r>
          </w:p>
          <w:p w14:paraId="5861B8EC">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（3）进度安排及保证措施有待提升，可行性、实用性、针对性有待改善,得 </w:t>
            </w:r>
            <w:r>
              <w:rPr>
                <w:rFonts w:hint="eastAsia" w:cs="宋体" w:eastAsiaTheme="minorEastAsia"/>
                <w:kern w:val="2"/>
                <w:sz w:val="24"/>
                <w:szCs w:val="24"/>
                <w:highlight w:val="none"/>
                <w:lang w:val="en-US" w:eastAsia="zh-CN" w:bidi="ar-SA"/>
              </w:rPr>
              <w:t>2</w:t>
            </w:r>
            <w:r>
              <w:rPr>
                <w:rFonts w:hint="eastAsia" w:ascii="宋体" w:hAnsi="宋体" w:cs="宋体" w:eastAsiaTheme="minorEastAsia"/>
                <w:kern w:val="2"/>
                <w:sz w:val="24"/>
                <w:szCs w:val="24"/>
                <w:highlight w:val="none"/>
                <w:lang w:val="en-US" w:eastAsia="zh-CN" w:bidi="ar-SA"/>
              </w:rPr>
              <w:t>分；</w:t>
            </w:r>
          </w:p>
          <w:p w14:paraId="0F6AAFA3">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（4）进度安排及保证措施不可行或者未 提供得 0 分。</w:t>
            </w:r>
          </w:p>
        </w:tc>
        <w:tc>
          <w:tcPr>
            <w:tcW w:w="578" w:type="pct"/>
            <w:shd w:val="clear" w:color="auto" w:fill="auto"/>
            <w:vAlign w:val="center"/>
          </w:tcPr>
          <w:p w14:paraId="01FA272E">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6</w:t>
            </w:r>
            <w:r>
              <w:rPr>
                <w:rFonts w:hint="eastAsia" w:ascii="宋体" w:hAnsi="宋体" w:cs="宋体"/>
                <w:sz w:val="24"/>
                <w:szCs w:val="24"/>
                <w:highlight w:val="none"/>
              </w:rPr>
              <w:t>分</w:t>
            </w:r>
          </w:p>
        </w:tc>
      </w:tr>
      <w:tr w14:paraId="306D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shd w:val="clear" w:color="auto" w:fill="auto"/>
            <w:vAlign w:val="center"/>
          </w:tcPr>
          <w:p w14:paraId="4C5D8476">
            <w:pPr>
              <w:pStyle w:val="47"/>
              <w:keepNext w:val="0"/>
              <w:keepLines w:val="0"/>
              <w:suppressLineNumbers w:val="0"/>
              <w:spacing w:before="78" w:beforeAutospacing="0" w:after="0" w:afterAutospacing="0" w:line="468" w:lineRule="exact"/>
              <w:ind w:left="0" w:right="0"/>
              <w:jc w:val="center"/>
              <w:rPr>
                <w:rFonts w:hint="eastAsia"/>
                <w:snapToGrid w:val="0"/>
                <w:color w:val="000000"/>
                <w:spacing w:val="-3"/>
                <w:kern w:val="0"/>
                <w:position w:val="17"/>
                <w:sz w:val="24"/>
                <w:szCs w:val="24"/>
                <w:highlight w:val="none"/>
              </w:rPr>
            </w:pPr>
          </w:p>
        </w:tc>
        <w:tc>
          <w:tcPr>
            <w:tcW w:w="654" w:type="pct"/>
            <w:shd w:val="clear" w:color="auto" w:fill="auto"/>
            <w:vAlign w:val="center"/>
          </w:tcPr>
          <w:p w14:paraId="7B05DB61">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后续服务</w:t>
            </w:r>
          </w:p>
          <w:p w14:paraId="2A021599">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的安排及</w:t>
            </w:r>
          </w:p>
          <w:p w14:paraId="2AB793AF">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保证措施</w:t>
            </w:r>
          </w:p>
        </w:tc>
        <w:tc>
          <w:tcPr>
            <w:tcW w:w="3081" w:type="pct"/>
            <w:shd w:val="clear" w:color="auto" w:fill="auto"/>
          </w:tcPr>
          <w:p w14:paraId="350FCF23">
            <w:pPr>
              <w:pStyle w:val="47"/>
              <w:keepNext w:val="0"/>
              <w:keepLines w:val="0"/>
              <w:numPr>
                <w:ilvl w:val="0"/>
                <w:numId w:val="3"/>
              </w:numPr>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后续服务的安排准确、全面、切合实际，完整详细，可行性、实用性、针对性强，得 </w:t>
            </w:r>
            <w:r>
              <w:rPr>
                <w:rFonts w:hint="eastAsia" w:cs="宋体" w:eastAsiaTheme="minorEastAsia"/>
                <w:kern w:val="2"/>
                <w:sz w:val="24"/>
                <w:szCs w:val="24"/>
                <w:highlight w:val="none"/>
                <w:lang w:val="en-US" w:eastAsia="zh-CN" w:bidi="ar-SA"/>
              </w:rPr>
              <w:t>6</w:t>
            </w:r>
            <w:r>
              <w:rPr>
                <w:rFonts w:hint="eastAsia" w:ascii="宋体" w:hAnsi="宋体" w:cs="宋体" w:eastAsiaTheme="minorEastAsia"/>
                <w:kern w:val="2"/>
                <w:sz w:val="24"/>
                <w:szCs w:val="24"/>
                <w:highlight w:val="none"/>
                <w:lang w:val="en-US" w:eastAsia="zh-CN" w:bidi="ar-SA"/>
              </w:rPr>
              <w:t>分；</w:t>
            </w:r>
          </w:p>
          <w:p w14:paraId="2CF5030F">
            <w:pPr>
              <w:pStyle w:val="47"/>
              <w:keepNext w:val="0"/>
              <w:keepLines w:val="0"/>
              <w:numPr>
                <w:ilvl w:val="0"/>
                <w:numId w:val="0"/>
              </w:numPr>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（2）后续服务的安排基本准确，完整详细,具有可行性、实用性和针对性，得 </w:t>
            </w:r>
            <w:r>
              <w:rPr>
                <w:rFonts w:hint="eastAsia" w:cs="宋体" w:eastAsiaTheme="minorEastAsia"/>
                <w:kern w:val="2"/>
                <w:sz w:val="24"/>
                <w:szCs w:val="24"/>
                <w:highlight w:val="none"/>
                <w:lang w:val="en-US" w:eastAsia="zh-CN" w:bidi="ar-SA"/>
              </w:rPr>
              <w:t>4</w:t>
            </w:r>
            <w:r>
              <w:rPr>
                <w:rFonts w:hint="eastAsia" w:ascii="宋体" w:hAnsi="宋体" w:cs="宋体" w:eastAsiaTheme="minorEastAsia"/>
                <w:kern w:val="2"/>
                <w:sz w:val="24"/>
                <w:szCs w:val="24"/>
                <w:highlight w:val="none"/>
                <w:lang w:val="en-US" w:eastAsia="zh-CN" w:bidi="ar-SA"/>
              </w:rPr>
              <w:t>分；</w:t>
            </w:r>
          </w:p>
          <w:p w14:paraId="318FCDED">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 xml:space="preserve">（3）后续服务的安排有待提升，可行性、实用性、针对性有待改善,得 </w:t>
            </w:r>
            <w:r>
              <w:rPr>
                <w:rFonts w:hint="eastAsia" w:cs="宋体" w:eastAsiaTheme="minorEastAsia"/>
                <w:kern w:val="2"/>
                <w:sz w:val="24"/>
                <w:szCs w:val="24"/>
                <w:highlight w:val="none"/>
                <w:lang w:val="en-US" w:eastAsia="zh-CN" w:bidi="ar-SA"/>
              </w:rPr>
              <w:t>2</w:t>
            </w:r>
            <w:r>
              <w:rPr>
                <w:rFonts w:hint="eastAsia" w:ascii="宋体" w:hAnsi="宋体" w:cs="宋体" w:eastAsiaTheme="minorEastAsia"/>
                <w:kern w:val="2"/>
                <w:sz w:val="24"/>
                <w:szCs w:val="24"/>
                <w:highlight w:val="none"/>
                <w:lang w:val="en-US" w:eastAsia="zh-CN" w:bidi="ar-SA"/>
              </w:rPr>
              <w:t xml:space="preserve"> 分；</w:t>
            </w:r>
          </w:p>
          <w:p w14:paraId="06C38371">
            <w:pPr>
              <w:pStyle w:val="47"/>
              <w:keepNext w:val="0"/>
              <w:keepLines w:val="0"/>
              <w:suppressLineNumbers w:val="0"/>
              <w:spacing w:before="78" w:beforeAutospacing="0" w:after="0" w:afterAutospacing="0" w:line="219" w:lineRule="auto"/>
              <w:ind w:left="0" w:right="0"/>
              <w:rPr>
                <w:rFonts w:hint="eastAsia" w:ascii="宋体" w:hAnsi="宋体" w:cs="宋体" w:eastAsiaTheme="minorEastAsia"/>
                <w:kern w:val="2"/>
                <w:sz w:val="24"/>
                <w:szCs w:val="24"/>
                <w:highlight w:val="none"/>
                <w:lang w:val="en-US" w:eastAsia="zh-CN" w:bidi="ar-SA"/>
              </w:rPr>
            </w:pPr>
            <w:r>
              <w:rPr>
                <w:rFonts w:hint="eastAsia" w:ascii="宋体" w:hAnsi="宋体" w:cs="宋体" w:eastAsiaTheme="minorEastAsia"/>
                <w:kern w:val="2"/>
                <w:sz w:val="24"/>
                <w:szCs w:val="24"/>
                <w:highlight w:val="none"/>
                <w:lang w:val="en-US" w:eastAsia="zh-CN" w:bidi="ar-SA"/>
              </w:rPr>
              <w:t>（4）后续服务的安排不可行或者未提供 得 0 分。</w:t>
            </w:r>
          </w:p>
        </w:tc>
        <w:tc>
          <w:tcPr>
            <w:tcW w:w="578" w:type="pct"/>
            <w:shd w:val="clear" w:color="auto" w:fill="auto"/>
            <w:vAlign w:val="center"/>
          </w:tcPr>
          <w:p w14:paraId="15AC99F6">
            <w:pPr>
              <w:pStyle w:val="47"/>
              <w:keepNext w:val="0"/>
              <w:keepLines w:val="0"/>
              <w:suppressLineNumbers w:val="0"/>
              <w:spacing w:before="78" w:beforeAutospacing="0" w:after="0" w:afterAutospacing="0" w:line="219" w:lineRule="auto"/>
              <w:ind w:left="0" w:right="0"/>
              <w:jc w:val="center"/>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rPr>
              <w:t>0-</w:t>
            </w:r>
            <w:r>
              <w:rPr>
                <w:rFonts w:hint="eastAsia" w:cs="宋体"/>
                <w:sz w:val="24"/>
                <w:szCs w:val="24"/>
                <w:highlight w:val="none"/>
                <w:lang w:val="en-US" w:eastAsia="zh-CN"/>
              </w:rPr>
              <w:t>6</w:t>
            </w:r>
            <w:r>
              <w:rPr>
                <w:rFonts w:hint="eastAsia" w:ascii="宋体" w:hAnsi="宋体" w:cs="宋体"/>
                <w:sz w:val="24"/>
                <w:szCs w:val="24"/>
                <w:highlight w:val="none"/>
              </w:rPr>
              <w:t>分</w:t>
            </w:r>
          </w:p>
        </w:tc>
      </w:tr>
      <w:tr w14:paraId="6359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85" w:type="pct"/>
            <w:vMerge w:val="continue"/>
            <w:shd w:val="clear" w:color="auto" w:fill="auto"/>
          </w:tcPr>
          <w:p w14:paraId="18BAC3AA">
            <w:pPr>
              <w:keepNext w:val="0"/>
              <w:keepLines w:val="0"/>
              <w:suppressLineNumbers w:val="0"/>
              <w:spacing w:before="0" w:beforeAutospacing="0" w:after="0" w:afterAutospacing="0"/>
              <w:ind w:left="0" w:right="0"/>
              <w:rPr>
                <w:rFonts w:hint="default" w:ascii="宋体" w:hAnsi="宋体" w:cs="宋体"/>
                <w:highlight w:val="none"/>
              </w:rPr>
            </w:pPr>
          </w:p>
        </w:tc>
        <w:tc>
          <w:tcPr>
            <w:tcW w:w="654" w:type="pct"/>
            <w:shd w:val="clear" w:color="auto" w:fill="auto"/>
            <w:vAlign w:val="center"/>
          </w:tcPr>
          <w:p w14:paraId="6C25B5C8">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投标人实力</w:t>
            </w:r>
          </w:p>
        </w:tc>
        <w:tc>
          <w:tcPr>
            <w:tcW w:w="3081" w:type="pct"/>
            <w:shd w:val="clear" w:color="auto" w:fill="auto"/>
          </w:tcPr>
          <w:p w14:paraId="63A33579">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投标人具有经中国国家认证认可监督管理委员会认证机构颁发的有效的下列认证：</w:t>
            </w:r>
          </w:p>
          <w:p w14:paraId="077210AF">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napToGrid w:val="0"/>
                <w:color w:val="000000"/>
                <w:kern w:val="0"/>
                <w:sz w:val="24"/>
                <w:szCs w:val="24"/>
                <w:highlight w:val="none"/>
              </w:rPr>
              <w:t>（1）</w:t>
            </w:r>
            <w:r>
              <w:rPr>
                <w:rFonts w:hint="eastAsia" w:ascii="宋体" w:hAnsi="宋体" w:cs="宋体"/>
                <w:sz w:val="24"/>
                <w:szCs w:val="24"/>
                <w:highlight w:val="none"/>
              </w:rPr>
              <w:t>质量管理体系认证；</w:t>
            </w:r>
          </w:p>
          <w:p w14:paraId="390F8DC1">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（2）</w:t>
            </w:r>
            <w:r>
              <w:rPr>
                <w:rFonts w:hint="eastAsia" w:asciiTheme="minorEastAsia" w:hAnsiTheme="minorEastAsia" w:eastAsiaTheme="minorEastAsia"/>
                <w:sz w:val="24"/>
                <w:highlight w:val="none"/>
              </w:rPr>
              <w:t>环境管理体系</w:t>
            </w:r>
            <w:r>
              <w:rPr>
                <w:rFonts w:hint="eastAsia" w:ascii="宋体" w:hAnsi="宋体" w:cs="宋体"/>
                <w:sz w:val="24"/>
                <w:szCs w:val="24"/>
                <w:highlight w:val="none"/>
              </w:rPr>
              <w:t>认证；</w:t>
            </w:r>
          </w:p>
          <w:p w14:paraId="77FCA2D8">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color w:val="auto"/>
                <w:sz w:val="24"/>
                <w:highlight w:val="none"/>
              </w:rPr>
              <w:t>职业健康安全管理体系</w:t>
            </w:r>
            <w:r>
              <w:rPr>
                <w:rFonts w:hint="eastAsia" w:ascii="宋体" w:hAnsi="宋体" w:cs="宋体"/>
                <w:sz w:val="24"/>
                <w:szCs w:val="24"/>
                <w:highlight w:val="none"/>
              </w:rPr>
              <w:t>认证；</w:t>
            </w:r>
          </w:p>
          <w:p w14:paraId="69FBD9F8">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sz w:val="24"/>
                <w:szCs w:val="24"/>
                <w:highlight w:val="none"/>
              </w:rPr>
              <w:t>每提供1个认证得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p w14:paraId="00E590D8">
            <w:pPr>
              <w:keepNext w:val="0"/>
              <w:keepLines w:val="0"/>
              <w:suppressLineNumbers w:val="0"/>
              <w:spacing w:before="0" w:beforeAutospacing="0" w:after="0" w:afterAutospacing="0" w:line="360" w:lineRule="auto"/>
              <w:ind w:left="0" w:right="0"/>
              <w:rPr>
                <w:rFonts w:hint="default" w:ascii="宋体" w:hAnsi="宋体" w:cs="宋体"/>
                <w:b/>
                <w:bCs/>
                <w:sz w:val="24"/>
                <w:szCs w:val="24"/>
                <w:highlight w:val="none"/>
              </w:rPr>
            </w:pPr>
            <w:r>
              <w:rPr>
                <w:rFonts w:hint="eastAsia" w:ascii="宋体" w:hAnsi="宋体" w:cs="宋体"/>
                <w:b/>
                <w:bCs/>
                <w:sz w:val="24"/>
                <w:szCs w:val="24"/>
                <w:highlight w:val="none"/>
              </w:rPr>
              <w:t>注：投标文件中提供证书扫描件和全国认证认可信息公共服务平台网站认证信息查询截图。</w:t>
            </w:r>
          </w:p>
        </w:tc>
        <w:tc>
          <w:tcPr>
            <w:tcW w:w="578" w:type="pct"/>
            <w:shd w:val="clear" w:color="auto" w:fill="auto"/>
            <w:vAlign w:val="center"/>
          </w:tcPr>
          <w:p w14:paraId="5684D0FC">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0-</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r>
      <w:tr w14:paraId="4B67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shd w:val="clear" w:color="auto" w:fill="auto"/>
          </w:tcPr>
          <w:p w14:paraId="304E4F4D">
            <w:pPr>
              <w:keepNext w:val="0"/>
              <w:keepLines w:val="0"/>
              <w:suppressLineNumbers w:val="0"/>
              <w:spacing w:before="0" w:beforeAutospacing="0" w:after="0" w:afterAutospacing="0"/>
              <w:ind w:left="0" w:right="0"/>
              <w:rPr>
                <w:rFonts w:hint="default" w:ascii="宋体" w:hAnsi="宋体" w:cs="宋体"/>
                <w:highlight w:val="none"/>
              </w:rPr>
            </w:pPr>
          </w:p>
        </w:tc>
        <w:tc>
          <w:tcPr>
            <w:tcW w:w="654" w:type="pct"/>
            <w:shd w:val="clear" w:color="auto" w:fill="auto"/>
            <w:vAlign w:val="center"/>
          </w:tcPr>
          <w:p w14:paraId="4D5D500F">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人员综合实力</w:t>
            </w:r>
          </w:p>
        </w:tc>
        <w:tc>
          <w:tcPr>
            <w:tcW w:w="3081" w:type="pct"/>
            <w:shd w:val="clear" w:color="auto" w:fill="auto"/>
          </w:tcPr>
          <w:p w14:paraId="4EC1B4AF">
            <w:pPr>
              <w:keepNext w:val="0"/>
              <w:keepLines w:val="0"/>
              <w:suppressLineNumbers w:val="0"/>
              <w:spacing w:before="0" w:beforeAutospacing="0" w:after="0" w:afterAutospacing="0" w:line="360" w:lineRule="auto"/>
              <w:ind w:left="0" w:right="0"/>
              <w:rPr>
                <w:rFonts w:hint="default" w:ascii="宋体" w:hAnsi="宋体" w:cs="宋体" w:eastAsiaTheme="minorEastAsia"/>
                <w:b/>
                <w:bCs/>
                <w:sz w:val="24"/>
                <w:szCs w:val="24"/>
                <w:highlight w:val="none"/>
                <w:lang w:val="en-US" w:eastAsia="zh-CN"/>
              </w:rPr>
            </w:pPr>
            <w:r>
              <w:rPr>
                <w:rFonts w:hint="eastAsia" w:ascii="宋体" w:hAnsi="宋体" w:cs="宋体"/>
                <w:b/>
                <w:bCs/>
                <w:sz w:val="24"/>
                <w:szCs w:val="24"/>
                <w:highlight w:val="none"/>
                <w:lang w:val="en-US" w:eastAsia="zh-CN"/>
              </w:rPr>
              <w:t>投标人</w:t>
            </w:r>
            <w:r>
              <w:rPr>
                <w:rFonts w:hint="default" w:ascii="宋体" w:hAnsi="宋体" w:cs="宋体" w:eastAsiaTheme="minorEastAsia"/>
                <w:b/>
                <w:bCs/>
                <w:sz w:val="24"/>
                <w:szCs w:val="24"/>
                <w:highlight w:val="none"/>
                <w:lang w:val="en-US" w:eastAsia="zh-CN"/>
              </w:rPr>
              <w:t>具</w:t>
            </w:r>
            <w:r>
              <w:rPr>
                <w:rFonts w:hint="eastAsia" w:ascii="宋体" w:hAnsi="宋体" w:cs="宋体"/>
                <w:b/>
                <w:bCs/>
                <w:sz w:val="24"/>
                <w:szCs w:val="24"/>
                <w:highlight w:val="none"/>
                <w:lang w:val="en-US" w:eastAsia="zh-CN"/>
              </w:rPr>
              <w:t>有</w:t>
            </w:r>
            <w:r>
              <w:rPr>
                <w:rFonts w:hint="default" w:ascii="宋体" w:hAnsi="宋体" w:cs="宋体" w:eastAsiaTheme="minorEastAsia"/>
                <w:b/>
                <w:bCs/>
                <w:sz w:val="24"/>
                <w:szCs w:val="24"/>
                <w:highlight w:val="none"/>
                <w:lang w:val="en-US" w:eastAsia="zh-CN"/>
              </w:rPr>
              <w:t>高级</w:t>
            </w:r>
            <w:r>
              <w:rPr>
                <w:rFonts w:hint="eastAsia" w:ascii="宋体" w:hAnsi="宋体" w:cs="宋体"/>
                <w:b/>
                <w:bCs/>
                <w:sz w:val="24"/>
                <w:szCs w:val="24"/>
                <w:highlight w:val="none"/>
                <w:lang w:val="en-US" w:eastAsia="zh-CN"/>
              </w:rPr>
              <w:t>及以上</w:t>
            </w:r>
            <w:r>
              <w:rPr>
                <w:rFonts w:hint="default" w:ascii="宋体" w:hAnsi="宋体" w:cs="宋体" w:eastAsiaTheme="minorEastAsia"/>
                <w:b/>
                <w:bCs/>
                <w:sz w:val="24"/>
                <w:szCs w:val="24"/>
                <w:highlight w:val="none"/>
                <w:lang w:val="en-US" w:eastAsia="zh-CN"/>
              </w:rPr>
              <w:t>工程师人数每增加1人得2分，本小项满分</w:t>
            </w:r>
            <w:r>
              <w:rPr>
                <w:rFonts w:hint="eastAsia" w:ascii="宋体" w:hAnsi="宋体" w:cs="宋体"/>
                <w:b/>
                <w:bCs/>
                <w:sz w:val="24"/>
                <w:szCs w:val="24"/>
                <w:highlight w:val="none"/>
                <w:lang w:val="en-US" w:eastAsia="zh-CN"/>
              </w:rPr>
              <w:t>14</w:t>
            </w:r>
            <w:r>
              <w:rPr>
                <w:rFonts w:hint="default" w:ascii="宋体" w:hAnsi="宋体" w:cs="宋体" w:eastAsiaTheme="minorEastAsia"/>
                <w:b/>
                <w:bCs/>
                <w:sz w:val="24"/>
                <w:szCs w:val="24"/>
                <w:highlight w:val="none"/>
                <w:lang w:val="en-US" w:eastAsia="zh-CN"/>
              </w:rPr>
              <w:t>分；</w:t>
            </w:r>
          </w:p>
          <w:p w14:paraId="37F3A2E5">
            <w:pPr>
              <w:keepNext w:val="0"/>
              <w:keepLines w:val="0"/>
              <w:suppressLineNumbers w:val="0"/>
              <w:spacing w:before="0" w:beforeAutospacing="0" w:after="0" w:afterAutospacing="0" w:line="360" w:lineRule="auto"/>
              <w:ind w:left="0" w:right="0"/>
              <w:rPr>
                <w:rFonts w:hint="default" w:ascii="宋体" w:hAnsi="宋体" w:cs="宋体" w:eastAsiaTheme="minorEastAsia"/>
                <w:b/>
                <w:bCs/>
                <w:sz w:val="24"/>
                <w:szCs w:val="24"/>
                <w:highlight w:val="none"/>
                <w:lang w:val="en-US" w:eastAsia="zh-CN"/>
              </w:rPr>
            </w:pPr>
            <w:r>
              <w:rPr>
                <w:rFonts w:hint="default" w:ascii="宋体" w:hAnsi="宋体" w:cs="宋体" w:eastAsiaTheme="minorEastAsia"/>
                <w:b/>
                <w:bCs/>
                <w:sz w:val="24"/>
                <w:szCs w:val="24"/>
                <w:highlight w:val="none"/>
                <w:lang w:val="en-US" w:eastAsia="zh-CN"/>
              </w:rPr>
              <w:t>本项目项目组成员（除项目负责人外），具有高级及以上职称每增加1人得2分，本小项满分</w:t>
            </w:r>
            <w:r>
              <w:rPr>
                <w:rFonts w:hint="eastAsia" w:ascii="宋体" w:hAnsi="宋体" w:cs="宋体"/>
                <w:b/>
                <w:bCs/>
                <w:sz w:val="24"/>
                <w:szCs w:val="24"/>
                <w:highlight w:val="none"/>
                <w:lang w:val="en-US" w:eastAsia="zh-CN"/>
              </w:rPr>
              <w:t>16</w:t>
            </w:r>
            <w:r>
              <w:rPr>
                <w:rFonts w:hint="default" w:ascii="宋体" w:hAnsi="宋体" w:cs="宋体" w:eastAsiaTheme="minorEastAsia"/>
                <w:b/>
                <w:bCs/>
                <w:sz w:val="24"/>
                <w:szCs w:val="24"/>
                <w:highlight w:val="none"/>
                <w:lang w:val="en-US" w:eastAsia="zh-CN"/>
              </w:rPr>
              <w:t>分；</w:t>
            </w:r>
          </w:p>
          <w:p w14:paraId="059597D2">
            <w:pPr>
              <w:keepNext w:val="0"/>
              <w:keepLines w:val="0"/>
              <w:suppressLineNumbers w:val="0"/>
              <w:spacing w:before="0" w:beforeAutospacing="0" w:after="0" w:afterAutospacing="0" w:line="360" w:lineRule="auto"/>
              <w:ind w:left="0" w:right="0"/>
              <w:rPr>
                <w:rFonts w:hint="default" w:ascii="宋体" w:hAnsi="宋体" w:cs="宋体" w:eastAsiaTheme="minorEastAsia"/>
                <w:b/>
                <w:bCs/>
                <w:sz w:val="24"/>
                <w:szCs w:val="24"/>
                <w:highlight w:val="none"/>
                <w:lang w:val="en-US" w:eastAsia="zh-CN"/>
              </w:rPr>
            </w:pPr>
            <w:r>
              <w:rPr>
                <w:rFonts w:hint="default" w:ascii="宋体" w:hAnsi="宋体" w:cs="宋体" w:eastAsiaTheme="minorEastAsia"/>
                <w:b/>
                <w:bCs/>
                <w:sz w:val="24"/>
                <w:szCs w:val="24"/>
                <w:highlight w:val="none"/>
                <w:lang w:val="en-US" w:eastAsia="zh-CN"/>
              </w:rPr>
              <w:t>注：提供以上人员相关证书及自投标响应之日前半年内任意 1 个月社保缴费证明复印件。</w:t>
            </w:r>
          </w:p>
        </w:tc>
        <w:tc>
          <w:tcPr>
            <w:tcW w:w="578" w:type="pct"/>
            <w:shd w:val="clear" w:color="auto" w:fill="auto"/>
            <w:vAlign w:val="center"/>
          </w:tcPr>
          <w:p w14:paraId="2C25377B">
            <w:pPr>
              <w:keepNext w:val="0"/>
              <w:keepLines w:val="0"/>
              <w:suppressLineNumbers w:val="0"/>
              <w:spacing w:before="0" w:beforeAutospacing="0" w:after="0" w:afterAutospacing="0" w:line="360" w:lineRule="auto"/>
              <w:ind w:left="0" w:right="0"/>
              <w:jc w:val="center"/>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0-30分</w:t>
            </w:r>
          </w:p>
        </w:tc>
      </w:tr>
      <w:tr w14:paraId="305C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vMerge w:val="continue"/>
            <w:shd w:val="clear" w:color="auto" w:fill="auto"/>
          </w:tcPr>
          <w:p w14:paraId="253EAD93">
            <w:pPr>
              <w:keepNext w:val="0"/>
              <w:keepLines w:val="0"/>
              <w:suppressLineNumbers w:val="0"/>
              <w:spacing w:before="0" w:beforeAutospacing="0" w:after="0" w:afterAutospacing="0"/>
              <w:ind w:left="0" w:right="0"/>
              <w:rPr>
                <w:rFonts w:hint="default" w:ascii="宋体" w:hAnsi="宋体" w:cs="宋体"/>
                <w:highlight w:val="none"/>
              </w:rPr>
            </w:pPr>
          </w:p>
        </w:tc>
        <w:tc>
          <w:tcPr>
            <w:tcW w:w="654" w:type="pct"/>
            <w:shd w:val="clear" w:color="auto" w:fill="auto"/>
            <w:vAlign w:val="center"/>
          </w:tcPr>
          <w:p w14:paraId="3B5726F3">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投标人业绩</w:t>
            </w:r>
          </w:p>
        </w:tc>
        <w:tc>
          <w:tcPr>
            <w:tcW w:w="3081" w:type="pct"/>
            <w:shd w:val="clear" w:color="auto" w:fill="auto"/>
          </w:tcPr>
          <w:p w14:paraId="6C3F2E72">
            <w:pPr>
              <w:keepNext w:val="0"/>
              <w:keepLines w:val="0"/>
              <w:suppressLineNumbers w:val="0"/>
              <w:spacing w:before="0" w:beforeAutospacing="0" w:after="0" w:afterAutospacing="0" w:line="360" w:lineRule="auto"/>
              <w:ind w:left="0" w:right="0"/>
              <w:rPr>
                <w:rFonts w:hint="eastAsia" w:ascii="宋体" w:hAnsi="宋体" w:cs="宋体"/>
                <w:sz w:val="24"/>
                <w:szCs w:val="24"/>
                <w:highlight w:val="none"/>
              </w:rPr>
            </w:pPr>
            <w:r>
              <w:rPr>
                <w:rFonts w:hint="eastAsia" w:ascii="宋体" w:hAnsi="宋体" w:cs="宋体"/>
                <w:sz w:val="24"/>
                <w:szCs w:val="24"/>
                <w:highlight w:val="none"/>
              </w:rPr>
              <w:t>自2020年1月1日以来（以合同签订时间为准），投标人每提供一个化工、石化或医药工程项目设计、采购、施工总承包（单项合同金额≥5000万元）项目业绩、项目设计或咨询（单项合同金额≥500万元）业绩的得3分，最多得9分。</w:t>
            </w:r>
          </w:p>
          <w:p w14:paraId="30C9A8D6">
            <w:pPr>
              <w:keepNext w:val="0"/>
              <w:keepLines w:val="0"/>
              <w:suppressLineNumbers w:val="0"/>
              <w:spacing w:before="0" w:beforeAutospacing="0" w:after="0" w:afterAutospacing="0" w:line="360" w:lineRule="auto"/>
              <w:ind w:left="0" w:right="0"/>
              <w:rPr>
                <w:rFonts w:hint="default" w:ascii="宋体" w:hAnsi="宋体" w:cs="宋体"/>
                <w:b/>
                <w:bCs/>
                <w:sz w:val="24"/>
                <w:szCs w:val="24"/>
                <w:highlight w:val="none"/>
              </w:rPr>
            </w:pPr>
            <w:r>
              <w:rPr>
                <w:rFonts w:hint="eastAsia" w:ascii="宋体" w:hAnsi="宋体" w:cs="宋体"/>
                <w:b/>
                <w:bCs/>
                <w:sz w:val="24"/>
                <w:szCs w:val="24"/>
                <w:highlight w:val="none"/>
              </w:rPr>
              <w:t>注：（1）投标文件中提供合同扫描件，若合同无法体现合同签订时间、项目内容的，须同时提供业主单位盖章的证明材料扫描件。</w:t>
            </w:r>
          </w:p>
          <w:p w14:paraId="60769463">
            <w:pPr>
              <w:keepNext w:val="0"/>
              <w:keepLines w:val="0"/>
              <w:suppressLineNumbers w:val="0"/>
              <w:spacing w:before="0" w:beforeAutospacing="0" w:after="0" w:afterAutospacing="0" w:line="360" w:lineRule="auto"/>
              <w:ind w:left="0" w:right="0"/>
              <w:rPr>
                <w:rFonts w:hint="default" w:ascii="宋体" w:hAnsi="宋体" w:cs="宋体"/>
                <w:sz w:val="24"/>
                <w:szCs w:val="24"/>
                <w:highlight w:val="none"/>
              </w:rPr>
            </w:pPr>
            <w:r>
              <w:rPr>
                <w:rFonts w:hint="eastAsia" w:ascii="宋体" w:hAnsi="宋体" w:cs="宋体"/>
                <w:b/>
                <w:bCs/>
                <w:sz w:val="24"/>
                <w:szCs w:val="24"/>
                <w:highlight w:val="none"/>
              </w:rPr>
              <w:t>（2）正在履约或者已履约完成的业绩均可。</w:t>
            </w:r>
          </w:p>
        </w:tc>
        <w:tc>
          <w:tcPr>
            <w:tcW w:w="578" w:type="pct"/>
            <w:shd w:val="clear" w:color="auto" w:fill="auto"/>
            <w:vAlign w:val="center"/>
          </w:tcPr>
          <w:p w14:paraId="0875149B">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0-9分</w:t>
            </w:r>
          </w:p>
        </w:tc>
      </w:tr>
      <w:tr w14:paraId="094E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pct"/>
            <w:shd w:val="clear" w:color="auto" w:fill="auto"/>
            <w:vAlign w:val="center"/>
          </w:tcPr>
          <w:p w14:paraId="540AF2EE">
            <w:pPr>
              <w:keepNext w:val="0"/>
              <w:keepLines w:val="0"/>
              <w:suppressLineNumbers w:val="0"/>
              <w:spacing w:before="0" w:beforeAutospacing="0" w:after="0" w:afterAutospacing="0" w:line="360" w:lineRule="auto"/>
              <w:ind w:left="0" w:right="0"/>
              <w:jc w:val="center"/>
              <w:rPr>
                <w:rFonts w:hint="default" w:ascii="宋体" w:hAnsi="宋体" w:cs="宋体"/>
                <w:sz w:val="24"/>
                <w:szCs w:val="24"/>
                <w:highlight w:val="none"/>
              </w:rPr>
            </w:pPr>
            <w:r>
              <w:rPr>
                <w:rFonts w:hint="eastAsia" w:ascii="宋体" w:hAnsi="宋体" w:cs="宋体"/>
                <w:sz w:val="24"/>
                <w:szCs w:val="24"/>
                <w:highlight w:val="none"/>
              </w:rPr>
              <w:t>价格分</w:t>
            </w:r>
          </w:p>
          <w:p w14:paraId="3A0BD11F">
            <w:pPr>
              <w:keepNext w:val="0"/>
              <w:keepLines w:val="0"/>
              <w:suppressLineNumbers w:val="0"/>
              <w:spacing w:before="0" w:beforeAutospacing="0" w:after="0" w:afterAutospacing="0" w:line="360" w:lineRule="auto"/>
              <w:ind w:left="0" w:right="0"/>
              <w:jc w:val="center"/>
              <w:rPr>
                <w:rFonts w:hint="default" w:ascii="宋体" w:hAnsi="宋体" w:cs="宋体"/>
                <w:highlight w:val="none"/>
              </w:rPr>
            </w:pPr>
            <w:r>
              <w:rPr>
                <w:rFonts w:hint="eastAsia" w:ascii="宋体" w:hAnsi="宋体" w:cs="宋体"/>
                <w:sz w:val="24"/>
                <w:szCs w:val="24"/>
                <w:highlight w:val="none"/>
              </w:rPr>
              <w:t>（10分）</w:t>
            </w:r>
          </w:p>
        </w:tc>
        <w:tc>
          <w:tcPr>
            <w:tcW w:w="4314" w:type="pct"/>
            <w:gridSpan w:val="3"/>
            <w:shd w:val="clear" w:color="auto" w:fill="auto"/>
            <w:vAlign w:val="center"/>
          </w:tcPr>
          <w:p w14:paraId="3299F673">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价格分统一采用低价优先法，即满足招标文件要求且最后报价最低的投标价格为基准价，其价格分为满分10分。其他投标人的价格分统一按照下列公式计算：</w:t>
            </w:r>
          </w:p>
          <w:p w14:paraId="6957A0AF">
            <w:pPr>
              <w:keepNext w:val="0"/>
              <w:keepLines w:val="0"/>
              <w:suppressLineNumbers w:val="0"/>
              <w:spacing w:before="0" w:beforeAutospacing="0" w:after="0" w:afterAutospacing="0" w:line="360" w:lineRule="auto"/>
              <w:ind w:left="0" w:right="0"/>
              <w:jc w:val="left"/>
              <w:rPr>
                <w:rFonts w:hint="default" w:ascii="宋体" w:hAnsi="宋体" w:cs="宋体"/>
                <w:sz w:val="24"/>
                <w:szCs w:val="24"/>
                <w:highlight w:val="none"/>
              </w:rPr>
            </w:pPr>
            <w:r>
              <w:rPr>
                <w:rFonts w:hint="eastAsia" w:ascii="宋体" w:hAnsi="宋体" w:cs="宋体"/>
                <w:sz w:val="24"/>
                <w:szCs w:val="24"/>
                <w:highlight w:val="none"/>
              </w:rPr>
              <w:t>投标报价得分＝（评标基准价/投标报价）×10％×100</w:t>
            </w:r>
          </w:p>
        </w:tc>
      </w:tr>
    </w:tbl>
    <w:p w14:paraId="04C89FF4">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1A66EB88">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35D25DB3">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3145D0D8">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40217DA5">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0FC021FC">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411C6C61">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68F04C29">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236D24E4">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p>
    <w:p w14:paraId="351F77D1">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p w14:paraId="0C58257D">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 以上评分汇总分精确至小数点后二位、小数点后第三位四舍五入。</w:t>
      </w:r>
    </w:p>
    <w:p w14:paraId="2B2A4B7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（2）比选响应人提供的证明材料要能清晰反映评分的实质内容，如因材料模糊不清，导致无法辨认，评标小组可以不予认可，一切后果由比选响应人自行承担。</w:t>
      </w:r>
    </w:p>
    <w:p w14:paraId="19EF3BE7">
      <w:pPr>
        <w:pStyle w:val="17"/>
        <w:shd w:val="clear"/>
        <w:ind w:left="0" w:leftChars="0" w:firstLine="0" w:firstLineChars="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（3）以上评分项中要求比选响应人提供的证明文件，比选响应人提供证明文件的扫描件或复印件或影印件加盖响应人公章。</w:t>
      </w:r>
    </w:p>
    <w:p w14:paraId="78D35A62">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4381FDF3">
      <w:pPr>
        <w:pStyle w:val="17"/>
        <w:shd w:val="clear"/>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三、比选响应文件格式</w:t>
      </w:r>
    </w:p>
    <w:p w14:paraId="21A59F46">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62304A91">
      <w:pPr>
        <w:keepNext w:val="0"/>
        <w:keepLines w:val="0"/>
        <w:widowControl/>
        <w:suppressLineNumbers w:val="0"/>
        <w:shd w:val="clear"/>
        <w:jc w:val="left"/>
        <w:rPr>
          <w:color w:val="auto"/>
          <w:highlight w:val="none"/>
        </w:rPr>
      </w:pPr>
    </w:p>
    <w:p w14:paraId="5A3D1205">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685476AF">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1A414A56">
      <w:pPr>
        <w:pStyle w:val="33"/>
        <w:shd w:val="clear"/>
        <w:rPr>
          <w:rFonts w:hint="eastAsia"/>
          <w:color w:val="auto"/>
          <w:highlight w:val="none"/>
        </w:rPr>
      </w:pPr>
    </w:p>
    <w:p w14:paraId="69F76F1D">
      <w:pPr>
        <w:pStyle w:val="17"/>
        <w:shd w:val="clear"/>
        <w:rPr>
          <w:rFonts w:hint="eastAsia"/>
          <w:color w:val="auto"/>
          <w:highlight w:val="none"/>
        </w:rPr>
      </w:pPr>
    </w:p>
    <w:p w14:paraId="7223DD5E">
      <w:pPr>
        <w:pStyle w:val="17"/>
        <w:shd w:val="clear"/>
        <w:rPr>
          <w:rFonts w:hint="eastAsia"/>
          <w:color w:val="auto"/>
          <w:highlight w:val="none"/>
        </w:rPr>
      </w:pPr>
    </w:p>
    <w:p w14:paraId="7BED7FB5">
      <w:pPr>
        <w:pStyle w:val="17"/>
        <w:shd w:val="clear"/>
        <w:ind w:left="0" w:leftChars="0" w:firstLine="0" w:firstLineChars="0"/>
        <w:rPr>
          <w:rFonts w:hint="eastAsia"/>
          <w:color w:val="auto"/>
          <w:highlight w:val="none"/>
        </w:rPr>
      </w:pPr>
    </w:p>
    <w:p w14:paraId="7F3765A4">
      <w:pPr>
        <w:pStyle w:val="17"/>
        <w:shd w:val="clear"/>
        <w:rPr>
          <w:rFonts w:hint="eastAsia"/>
          <w:color w:val="auto"/>
          <w:highlight w:val="none"/>
        </w:rPr>
      </w:pPr>
    </w:p>
    <w:p w14:paraId="7A1936BA">
      <w:pPr>
        <w:pStyle w:val="17"/>
        <w:shd w:val="clear"/>
        <w:rPr>
          <w:rFonts w:hint="eastAsia"/>
          <w:color w:val="auto"/>
          <w:highlight w:val="none"/>
        </w:rPr>
      </w:pPr>
    </w:p>
    <w:p w14:paraId="535A2043">
      <w:pPr>
        <w:pStyle w:val="17"/>
        <w:shd w:val="clear"/>
        <w:rPr>
          <w:rFonts w:hint="eastAsia"/>
          <w:color w:val="auto"/>
          <w:highlight w:val="none"/>
        </w:rPr>
      </w:pPr>
    </w:p>
    <w:p w14:paraId="0268DF94">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7E8F0572">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资格审查部分                      </w:t>
      </w:r>
    </w:p>
    <w:p w14:paraId="5F19F129">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08674B5D">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（签字或盖章）</w:t>
      </w:r>
    </w:p>
    <w:p w14:paraId="5FAD6D2B">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293F246B">
      <w:pPr>
        <w:pStyle w:val="33"/>
        <w:shd w:val="clear"/>
        <w:rPr>
          <w:rFonts w:hint="default" w:ascii="宋体" w:hAnsi="宋体" w:eastAsia="宋体" w:cs="宋体"/>
          <w:b/>
          <w:bCs/>
          <w:color w:val="auto"/>
          <w:sz w:val="28"/>
          <w:szCs w:val="28"/>
          <w:highlight w:val="none"/>
          <w:lang w:val="en-US" w:eastAsia="zh-CN"/>
        </w:rPr>
      </w:pPr>
    </w:p>
    <w:p w14:paraId="4C115BF9">
      <w:pPr>
        <w:pStyle w:val="33"/>
        <w:shd w:val="clear"/>
        <w:rPr>
          <w:rFonts w:hint="default" w:ascii="宋体" w:hAnsi="宋体" w:eastAsia="宋体" w:cs="宋体"/>
          <w:b/>
          <w:bCs/>
          <w:color w:val="auto"/>
          <w:sz w:val="28"/>
          <w:szCs w:val="28"/>
          <w:highlight w:val="none"/>
          <w:lang w:val="en-US" w:eastAsia="zh-CN"/>
        </w:rPr>
      </w:pPr>
    </w:p>
    <w:p w14:paraId="126B0331">
      <w:pPr>
        <w:rPr>
          <w:rFonts w:hint="eastAsia"/>
          <w:color w:val="auto"/>
          <w:sz w:val="44"/>
          <w:szCs w:val="52"/>
          <w:highlight w:val="none"/>
          <w:lang w:val="en-US" w:eastAsia="zh-CN"/>
        </w:rPr>
      </w:pPr>
      <w:r>
        <w:rPr>
          <w:rFonts w:hint="eastAsia"/>
          <w:color w:val="auto"/>
          <w:sz w:val="44"/>
          <w:szCs w:val="52"/>
          <w:highlight w:val="none"/>
          <w:lang w:val="en-US" w:eastAsia="zh-CN"/>
        </w:rPr>
        <w:br w:type="page"/>
      </w:r>
    </w:p>
    <w:p w14:paraId="22CF0540">
      <w:pPr>
        <w:shd w:val="clear"/>
        <w:jc w:val="center"/>
        <w:rPr>
          <w:rFonts w:hint="eastAsia"/>
          <w:color w:val="auto"/>
          <w:sz w:val="44"/>
          <w:szCs w:val="52"/>
          <w:highlight w:val="none"/>
          <w:lang w:val="en-US" w:eastAsia="zh-CN"/>
        </w:rPr>
      </w:pPr>
    </w:p>
    <w:p w14:paraId="1A72AE7E">
      <w:pPr>
        <w:shd w:val="clear"/>
        <w:jc w:val="center"/>
        <w:rPr>
          <w:rFonts w:hint="eastAsia"/>
          <w:color w:val="auto"/>
          <w:sz w:val="44"/>
          <w:szCs w:val="52"/>
          <w:highlight w:val="none"/>
          <w:lang w:val="en-US" w:eastAsia="zh-CN"/>
        </w:rPr>
      </w:pPr>
      <w:r>
        <w:rPr>
          <w:rFonts w:hint="eastAsia"/>
          <w:color w:val="auto"/>
          <w:sz w:val="44"/>
          <w:szCs w:val="52"/>
          <w:highlight w:val="none"/>
          <w:lang w:val="en-US" w:eastAsia="zh-CN"/>
        </w:rPr>
        <w:t>目   录</w:t>
      </w:r>
    </w:p>
    <w:p w14:paraId="1CD748FD">
      <w:pPr>
        <w:pStyle w:val="6"/>
        <w:rPr>
          <w:rFonts w:hint="eastAsia"/>
          <w:highlight w:val="none"/>
        </w:rPr>
      </w:pPr>
    </w:p>
    <w:p w14:paraId="39A2FA65">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1、法定代表人身份证明书(原件，格式详见附件1)及法人身份证复印件；</w:t>
      </w:r>
    </w:p>
    <w:p w14:paraId="4BB56FAA">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2、授权委托书（格式详见附件2）及被授权人身份证复印件；（如授权委托参加开标会的）</w:t>
      </w:r>
    </w:p>
    <w:p w14:paraId="4C0F411D">
      <w:pPr>
        <w:numPr>
          <w:ilvl w:val="0"/>
          <w:numId w:val="0"/>
        </w:numPr>
        <w:spacing w:line="360" w:lineRule="auto"/>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3、营业执照；</w:t>
      </w:r>
    </w:p>
    <w:p w14:paraId="6DDEEC8B">
      <w:pPr>
        <w:numPr>
          <w:ilvl w:val="0"/>
          <w:numId w:val="0"/>
        </w:numPr>
        <w:spacing w:line="360" w:lineRule="auto"/>
        <w:ind w:firstLine="840" w:firstLineChars="3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4、资格要求证明材料；</w:t>
      </w:r>
    </w:p>
    <w:p w14:paraId="13C67ABA">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5、投标人良好信誉证明；</w:t>
      </w:r>
    </w:p>
    <w:p w14:paraId="356A25C0">
      <w:pPr>
        <w:numPr>
          <w:ilvl w:val="0"/>
          <w:numId w:val="0"/>
        </w:numPr>
        <w:spacing w:line="360" w:lineRule="auto"/>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6、服务需求及技术要求响应表。</w:t>
      </w:r>
    </w:p>
    <w:p w14:paraId="36AB8A67">
      <w:pPr>
        <w:shd w:val="clear"/>
        <w:rPr>
          <w:rFonts w:hint="eastAsia" w:ascii="宋体" w:hAnsi="宋体" w:eastAsia="宋体" w:cs="宋体"/>
          <w:b/>
          <w:bCs/>
          <w:color w:val="auto"/>
          <w:sz w:val="20"/>
          <w:szCs w:val="20"/>
          <w:highlight w:val="none"/>
          <w:lang w:val="en-US" w:eastAsia="zh-CN"/>
        </w:rPr>
      </w:pPr>
    </w:p>
    <w:p w14:paraId="606382AC">
      <w:pPr>
        <w:shd w:val="clear"/>
        <w:rPr>
          <w:rFonts w:hint="eastAsia" w:ascii="宋体" w:hAnsi="宋体" w:eastAsia="宋体" w:cs="宋体"/>
          <w:b/>
          <w:bCs/>
          <w:color w:val="auto"/>
          <w:sz w:val="20"/>
          <w:szCs w:val="20"/>
          <w:highlight w:val="none"/>
          <w:lang w:val="en-US" w:eastAsia="zh-CN"/>
        </w:rPr>
      </w:pPr>
    </w:p>
    <w:p w14:paraId="3A533DD8">
      <w:pPr>
        <w:shd w:val="clear"/>
        <w:rPr>
          <w:rFonts w:hint="eastAsia" w:ascii="宋体" w:hAnsi="宋体" w:eastAsia="宋体" w:cs="宋体"/>
          <w:b/>
          <w:bCs/>
          <w:color w:val="auto"/>
          <w:sz w:val="20"/>
          <w:szCs w:val="20"/>
          <w:highlight w:val="none"/>
          <w:lang w:val="en-US" w:eastAsia="zh-CN"/>
        </w:rPr>
      </w:pPr>
    </w:p>
    <w:p w14:paraId="2AD40182">
      <w:pPr>
        <w:shd w:val="clear"/>
        <w:rPr>
          <w:rFonts w:hint="eastAsia" w:ascii="宋体" w:hAnsi="宋体" w:eastAsia="宋体" w:cs="宋体"/>
          <w:b/>
          <w:bCs/>
          <w:color w:val="auto"/>
          <w:sz w:val="20"/>
          <w:szCs w:val="20"/>
          <w:highlight w:val="none"/>
          <w:lang w:val="en-US" w:eastAsia="zh-CN"/>
        </w:rPr>
      </w:pPr>
    </w:p>
    <w:p w14:paraId="6FE40E7A">
      <w:pPr>
        <w:shd w:val="clear"/>
        <w:rPr>
          <w:rFonts w:hint="eastAsia" w:ascii="宋体" w:hAnsi="宋体" w:eastAsia="宋体" w:cs="宋体"/>
          <w:b/>
          <w:bCs/>
          <w:color w:val="auto"/>
          <w:sz w:val="20"/>
          <w:szCs w:val="20"/>
          <w:highlight w:val="none"/>
          <w:lang w:val="en-US" w:eastAsia="zh-CN"/>
        </w:rPr>
      </w:pPr>
    </w:p>
    <w:p w14:paraId="47983BE3">
      <w:pPr>
        <w:shd w:val="clear"/>
        <w:rPr>
          <w:rFonts w:hint="eastAsia" w:ascii="宋体" w:hAnsi="宋体" w:eastAsia="宋体" w:cs="宋体"/>
          <w:b/>
          <w:bCs/>
          <w:color w:val="auto"/>
          <w:sz w:val="20"/>
          <w:szCs w:val="20"/>
          <w:highlight w:val="none"/>
        </w:rPr>
      </w:pPr>
    </w:p>
    <w:p w14:paraId="745C202B">
      <w:pPr>
        <w:pStyle w:val="33"/>
        <w:shd w:val="clear"/>
        <w:rPr>
          <w:rFonts w:hint="eastAsia" w:ascii="宋体" w:hAnsi="宋体" w:eastAsia="宋体" w:cs="宋体"/>
          <w:b/>
          <w:bCs/>
          <w:color w:val="auto"/>
          <w:sz w:val="20"/>
          <w:szCs w:val="20"/>
          <w:highlight w:val="none"/>
        </w:rPr>
      </w:pPr>
    </w:p>
    <w:p w14:paraId="026CAFE1">
      <w:pPr>
        <w:pStyle w:val="33"/>
        <w:shd w:val="clear"/>
        <w:rPr>
          <w:rFonts w:hint="eastAsia" w:ascii="宋体" w:hAnsi="宋体" w:eastAsia="宋体" w:cs="宋体"/>
          <w:b/>
          <w:bCs/>
          <w:color w:val="auto"/>
          <w:sz w:val="20"/>
          <w:szCs w:val="20"/>
          <w:highlight w:val="none"/>
        </w:rPr>
      </w:pPr>
    </w:p>
    <w:p w14:paraId="045156FD">
      <w:pPr>
        <w:pStyle w:val="33"/>
        <w:shd w:val="clear"/>
        <w:rPr>
          <w:rFonts w:hint="eastAsia" w:ascii="宋体" w:hAnsi="宋体" w:eastAsia="宋体" w:cs="宋体"/>
          <w:b/>
          <w:bCs/>
          <w:color w:val="auto"/>
          <w:sz w:val="20"/>
          <w:szCs w:val="20"/>
          <w:highlight w:val="none"/>
        </w:rPr>
      </w:pPr>
    </w:p>
    <w:p w14:paraId="11B95D31">
      <w:pPr>
        <w:pStyle w:val="33"/>
        <w:shd w:val="clear"/>
        <w:rPr>
          <w:rFonts w:hint="eastAsia" w:ascii="宋体" w:hAnsi="宋体" w:eastAsia="宋体" w:cs="宋体"/>
          <w:b/>
          <w:bCs/>
          <w:color w:val="auto"/>
          <w:sz w:val="20"/>
          <w:szCs w:val="20"/>
          <w:highlight w:val="none"/>
        </w:rPr>
      </w:pPr>
    </w:p>
    <w:p w14:paraId="1F8D5FBD">
      <w:pPr>
        <w:pStyle w:val="33"/>
        <w:shd w:val="clear"/>
        <w:ind w:left="0" w:leftChars="0" w:firstLine="0" w:firstLineChars="0"/>
        <w:rPr>
          <w:rFonts w:hint="eastAsia" w:ascii="宋体" w:hAnsi="宋体" w:eastAsia="宋体" w:cs="宋体"/>
          <w:b/>
          <w:bCs/>
          <w:color w:val="auto"/>
          <w:sz w:val="20"/>
          <w:szCs w:val="20"/>
          <w:highlight w:val="none"/>
        </w:rPr>
      </w:pPr>
    </w:p>
    <w:p w14:paraId="60CFF710">
      <w:pPr>
        <w:pStyle w:val="33"/>
        <w:shd w:val="clear"/>
        <w:ind w:left="0" w:leftChars="0" w:firstLine="0" w:firstLineChars="0"/>
        <w:rPr>
          <w:rFonts w:hint="eastAsia" w:ascii="宋体" w:hAnsi="宋体" w:eastAsia="宋体" w:cs="宋体"/>
          <w:b/>
          <w:bCs/>
          <w:color w:val="auto"/>
          <w:sz w:val="20"/>
          <w:szCs w:val="20"/>
          <w:highlight w:val="none"/>
        </w:rPr>
      </w:pPr>
    </w:p>
    <w:p w14:paraId="17042EC6">
      <w:pPr>
        <w:pStyle w:val="33"/>
        <w:shd w:val="clear"/>
        <w:ind w:left="0" w:leftChars="0" w:firstLine="0" w:firstLineChars="0"/>
        <w:rPr>
          <w:rFonts w:hint="eastAsia" w:ascii="宋体" w:hAnsi="宋体" w:eastAsia="宋体" w:cs="宋体"/>
          <w:b/>
          <w:bCs/>
          <w:color w:val="auto"/>
          <w:sz w:val="20"/>
          <w:szCs w:val="20"/>
          <w:highlight w:val="none"/>
        </w:rPr>
      </w:pPr>
    </w:p>
    <w:p w14:paraId="49E5C509">
      <w:pPr>
        <w:pStyle w:val="33"/>
        <w:shd w:val="clear"/>
        <w:ind w:left="0" w:leftChars="0" w:firstLine="0" w:firstLineChars="0"/>
        <w:rPr>
          <w:rFonts w:hint="eastAsia" w:ascii="宋体" w:hAnsi="宋体" w:eastAsia="宋体" w:cs="宋体"/>
          <w:b/>
          <w:bCs/>
          <w:color w:val="auto"/>
          <w:sz w:val="20"/>
          <w:szCs w:val="20"/>
          <w:highlight w:val="none"/>
        </w:rPr>
      </w:pPr>
    </w:p>
    <w:p w14:paraId="30BF3540">
      <w:pPr>
        <w:pStyle w:val="33"/>
        <w:shd w:val="clear"/>
        <w:ind w:left="0" w:leftChars="0" w:firstLine="0" w:firstLineChars="0"/>
        <w:rPr>
          <w:rFonts w:hint="eastAsia" w:ascii="宋体" w:hAnsi="宋体" w:eastAsia="宋体" w:cs="宋体"/>
          <w:b/>
          <w:bCs/>
          <w:color w:val="auto"/>
          <w:sz w:val="20"/>
          <w:szCs w:val="20"/>
          <w:highlight w:val="none"/>
        </w:rPr>
      </w:pPr>
    </w:p>
    <w:p w14:paraId="144B8111">
      <w:pPr>
        <w:shd w:val="clear"/>
        <w:rPr>
          <w:rFonts w:hint="eastAsia" w:ascii="宋体" w:hAnsi="宋体" w:eastAsia="宋体" w:cs="宋体"/>
          <w:b/>
          <w:bCs/>
          <w:color w:val="auto"/>
          <w:sz w:val="20"/>
          <w:szCs w:val="20"/>
          <w:highlight w:val="none"/>
        </w:rPr>
      </w:pPr>
    </w:p>
    <w:p w14:paraId="77BD2064">
      <w:pPr>
        <w:pStyle w:val="33"/>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附件1</w:t>
      </w:r>
    </w:p>
    <w:p w14:paraId="6C79BF90">
      <w:p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1、法定代表人身份证明书</w:t>
      </w:r>
    </w:p>
    <w:p w14:paraId="2828C50D">
      <w:pPr>
        <w:jc w:val="center"/>
        <w:rPr>
          <w:rFonts w:hint="eastAsia" w:ascii="宋体" w:hAnsi="宋体" w:eastAsia="宋体" w:cs="宋体"/>
          <w:b/>
          <w:color w:val="auto"/>
          <w:sz w:val="24"/>
          <w:szCs w:val="24"/>
          <w:highlight w:val="none"/>
        </w:rPr>
      </w:pPr>
    </w:p>
    <w:p w14:paraId="079EC19C">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投 标 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809A9CF">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单位性质：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39FA342">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88FA93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413BF65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val="en-US" w:eastAsia="zh-CN"/>
        </w:rPr>
        <w:t>经营期限：</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42B830A1">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u w:val="none"/>
          <w:lang w:val="en-US" w:eastAsia="zh-CN"/>
        </w:rPr>
        <w:t>性 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6D5123A">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职 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AC51A8">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（比选响应人名称）的法定代表人。</w:t>
      </w:r>
    </w:p>
    <w:p w14:paraId="3A916B24">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特此证明。 </w:t>
      </w:r>
    </w:p>
    <w:p w14:paraId="5F019394">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附：法定代表人身份证复印件</w:t>
      </w:r>
    </w:p>
    <w:p w14:paraId="38697773">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7768A0A5">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44D71F8C">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3BD68451">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比选响应人：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（盖公章）</w:t>
      </w:r>
    </w:p>
    <w:p w14:paraId="7DE5EC2A">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宋体" w:hAnsi="宋体" w:eastAsia="宋体" w:cs="宋体"/>
          <w:color w:val="auto"/>
          <w:sz w:val="24"/>
          <w:szCs w:val="24"/>
          <w:highlight w:val="none"/>
        </w:rPr>
      </w:pPr>
    </w:p>
    <w:p w14:paraId="000408DC">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年   月   日</w:t>
      </w:r>
    </w:p>
    <w:p w14:paraId="22E5FF30">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宋体" w:hAnsi="宋体" w:eastAsia="宋体" w:cs="宋体"/>
          <w:color w:val="auto"/>
          <w:sz w:val="24"/>
          <w:szCs w:val="24"/>
          <w:highlight w:val="none"/>
        </w:rPr>
      </w:pPr>
    </w:p>
    <w:p w14:paraId="6A076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color w:val="auto"/>
          <w:sz w:val="28"/>
          <w:szCs w:val="28"/>
          <w:highlight w:val="none"/>
          <w:lang w:val="en-US" w:eastAsia="zh-CN"/>
        </w:rPr>
      </w:pPr>
    </w:p>
    <w:p w14:paraId="0F879BEA">
      <w:pPr>
        <w:rPr>
          <w:rFonts w:hint="eastAsia" w:ascii="仿宋" w:hAnsi="仿宋" w:eastAsia="仿宋" w:cs="仿宋"/>
          <w:color w:val="auto"/>
          <w:sz w:val="28"/>
          <w:szCs w:val="28"/>
          <w:highlight w:val="none"/>
          <w:lang w:val="en-US" w:eastAsia="zh-CN"/>
        </w:rPr>
      </w:pPr>
    </w:p>
    <w:p w14:paraId="0D83BCC8">
      <w:pPr>
        <w:rPr>
          <w:rFonts w:hint="eastAsia" w:ascii="仿宋" w:hAnsi="仿宋" w:eastAsia="仿宋" w:cs="仿宋"/>
          <w:color w:val="auto"/>
          <w:sz w:val="28"/>
          <w:szCs w:val="28"/>
          <w:highlight w:val="none"/>
          <w:lang w:val="en-US" w:eastAsia="zh-CN"/>
        </w:rPr>
      </w:pPr>
    </w:p>
    <w:p w14:paraId="10E11782">
      <w:pPr>
        <w:rPr>
          <w:rFonts w:hint="eastAsia" w:ascii="仿宋" w:hAnsi="仿宋" w:eastAsia="仿宋" w:cs="仿宋"/>
          <w:color w:val="auto"/>
          <w:sz w:val="28"/>
          <w:szCs w:val="28"/>
          <w:highlight w:val="none"/>
          <w:lang w:val="en-US" w:eastAsia="zh-CN"/>
        </w:rPr>
      </w:pPr>
    </w:p>
    <w:p w14:paraId="78558AF3">
      <w:pPr>
        <w:pStyle w:val="33"/>
        <w:ind w:left="0" w:leftChars="0" w:firstLine="0" w:firstLineChars="0"/>
        <w:rPr>
          <w:rFonts w:hint="eastAsia" w:ascii="仿宋_GB2312" w:hAnsi="仿宋_GB2312" w:eastAsia="仿宋_GB2312" w:cs="仿宋_GB2312"/>
          <w:b w:val="0"/>
          <w:bCs w:val="0"/>
          <w:color w:val="auto"/>
          <w:kern w:val="2"/>
          <w:sz w:val="28"/>
          <w:szCs w:val="28"/>
          <w:highlight w:val="none"/>
          <w:lang w:val="en-US" w:eastAsia="zh-CN" w:bidi="ar-SA"/>
        </w:rPr>
      </w:pPr>
    </w:p>
    <w:p w14:paraId="4467B88F">
      <w:pPr>
        <w:pStyle w:val="33"/>
        <w:ind w:left="0" w:leftChars="0" w:firstLine="0" w:firstLineChars="0"/>
        <w:rPr>
          <w:rFonts w:hint="eastAsia" w:ascii="宋体" w:hAnsi="宋体" w:eastAsia="宋体" w:cs="宋体"/>
          <w:b/>
          <w:bCs/>
          <w:color w:val="auto"/>
          <w:sz w:val="20"/>
          <w:szCs w:val="20"/>
          <w:highlight w:val="none"/>
        </w:rPr>
      </w:pPr>
      <w:r>
        <w:rPr>
          <w:rFonts w:hint="eastAsia" w:ascii="仿宋_GB2312" w:hAnsi="仿宋_GB2312" w:eastAsia="仿宋_GB2312" w:cs="仿宋_GB2312"/>
          <w:b w:val="0"/>
          <w:bCs w:val="0"/>
          <w:color w:val="auto"/>
          <w:kern w:val="2"/>
          <w:sz w:val="28"/>
          <w:szCs w:val="28"/>
          <w:highlight w:val="none"/>
          <w:lang w:val="en-US" w:eastAsia="zh-CN" w:bidi="ar-SA"/>
        </w:rPr>
        <w:t>附件2</w:t>
      </w:r>
    </w:p>
    <w:p w14:paraId="3BD7D9EF">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2、</w:t>
      </w:r>
      <w:r>
        <w:rPr>
          <w:rFonts w:hint="eastAsia" w:ascii="宋体" w:hAnsi="宋体" w:eastAsia="宋体" w:cs="宋体"/>
          <w:b/>
          <w:bCs/>
          <w:color w:val="auto"/>
          <w:sz w:val="32"/>
          <w:szCs w:val="32"/>
          <w:highlight w:val="none"/>
          <w:lang w:val="en-US" w:eastAsia="zh-CN" w:bidi="ar"/>
        </w:rPr>
        <w:t>授权委托书</w:t>
      </w:r>
    </w:p>
    <w:p w14:paraId="547B2F54">
      <w:pPr>
        <w:numPr>
          <w:ilvl w:val="0"/>
          <w:numId w:val="0"/>
        </w:numPr>
        <w:kinsoku w:val="0"/>
        <w:autoSpaceDE w:val="0"/>
        <w:autoSpaceDN w:val="0"/>
        <w:adjustRightInd w:val="0"/>
        <w:snapToGrid w:val="0"/>
        <w:spacing w:line="500" w:lineRule="exact"/>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32"/>
          <w:szCs w:val="32"/>
          <w:highlight w:val="none"/>
          <w:lang w:val="en-US" w:eastAsia="zh-CN" w:bidi="ar"/>
        </w:rPr>
        <w:t>（如授权委托参加开标会的）</w:t>
      </w:r>
    </w:p>
    <w:p w14:paraId="1CB11EA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2" w:firstLineChars="200"/>
        <w:jc w:val="center"/>
        <w:textAlignment w:val="baseline"/>
        <w:rPr>
          <w:rFonts w:hint="eastAsia" w:asciiTheme="minorEastAsia" w:hAnsiTheme="minorEastAsia" w:eastAsiaTheme="minorEastAsia" w:cstheme="minorEastAsia"/>
          <w:b/>
          <w:bCs/>
          <w:color w:val="auto"/>
          <w:sz w:val="24"/>
          <w:szCs w:val="24"/>
          <w:highlight w:val="none"/>
          <w:u w:val="none"/>
          <w:lang w:val="en-US" w:eastAsia="zh-CN"/>
        </w:rPr>
      </w:pPr>
    </w:p>
    <w:p w14:paraId="2667AF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本人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（姓名）系</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cstheme="minorEastAsia"/>
          <w:b w:val="0"/>
          <w:bCs w:val="0"/>
          <w:color w:val="auto"/>
          <w:sz w:val="24"/>
          <w:szCs w:val="24"/>
          <w:highlight w:val="none"/>
          <w:u w:val="none"/>
          <w:lang w:val="en-US" w:eastAsia="zh-CN"/>
        </w:rPr>
        <w:t>单位</w:t>
      </w:r>
      <w:r>
        <w:rPr>
          <w:rFonts w:hint="eastAsia" w:asciiTheme="minorEastAsia" w:hAnsiTheme="minorEastAsia" w:eastAsiaTheme="minorEastAsia" w:cstheme="minorEastAsia"/>
          <w:b w:val="0"/>
          <w:bCs w:val="0"/>
          <w:color w:val="auto"/>
          <w:sz w:val="24"/>
          <w:szCs w:val="24"/>
          <w:highlight w:val="none"/>
          <w:u w:val="none"/>
          <w:lang w:val="en-US" w:eastAsia="zh-CN"/>
        </w:rPr>
        <w:t>名称）的法定代表人，现委托</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（姓名）为我方委托代理人。委托代理人根据授权，以我方名义处理</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（项目名称）的比选响应</w:t>
      </w:r>
      <w:r>
        <w:rPr>
          <w:rFonts w:hint="eastAsia" w:asciiTheme="minorEastAsia" w:hAnsiTheme="minorEastAsia" w:cstheme="minorEastAsia"/>
          <w:b w:val="0"/>
          <w:bCs w:val="0"/>
          <w:color w:val="auto"/>
          <w:sz w:val="24"/>
          <w:szCs w:val="24"/>
          <w:highlight w:val="none"/>
          <w:u w:val="none"/>
          <w:lang w:val="en-US" w:eastAsia="zh-CN"/>
        </w:rPr>
        <w:t>文件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一切事宜，其法律后果由我方承担。委托代理人无转委托权，特此委托。 </w:t>
      </w:r>
    </w:p>
    <w:p w14:paraId="2FC0568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本委托书自出具之日起生效</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 </w:t>
      </w:r>
    </w:p>
    <w:p w14:paraId="044B9B8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p>
    <w:p w14:paraId="5981EB0F">
      <w:pPr>
        <w:spacing w:line="360" w:lineRule="auto"/>
        <w:ind w:firstLine="435"/>
        <w:rPr>
          <w:rFonts w:hAnsi="宋体"/>
          <w:b/>
          <w:bCs/>
          <w:color w:val="auto"/>
          <w:sz w:val="24"/>
          <w:highlight w:val="none"/>
        </w:rPr>
      </w:pPr>
      <w:r>
        <w:rPr>
          <w:rFonts w:hint="eastAsia" w:hAnsi="宋体"/>
          <w:b/>
          <w:bCs/>
          <w:color w:val="auto"/>
          <w:sz w:val="24"/>
          <w:szCs w:val="28"/>
          <w:highlight w:val="none"/>
        </w:rPr>
        <w:t>委托</w:t>
      </w:r>
      <w:r>
        <w:rPr>
          <w:rFonts w:hint="eastAsia" w:asciiTheme="minorEastAsia" w:hAnsiTheme="minorEastAsia" w:eastAsiaTheme="minorEastAsia"/>
          <w:b/>
          <w:bCs/>
          <w:color w:val="auto"/>
          <w:sz w:val="24"/>
          <w:highlight w:val="none"/>
        </w:rPr>
        <w:t>代表</w:t>
      </w:r>
      <w:r>
        <w:rPr>
          <w:rFonts w:hint="eastAsia" w:hAnsi="宋体"/>
          <w:b/>
          <w:bCs/>
          <w:color w:val="auto"/>
          <w:sz w:val="24"/>
          <w:highlight w:val="none"/>
        </w:rPr>
        <w:t>身份证扫描件：</w:t>
      </w:r>
    </w:p>
    <w:p w14:paraId="2EBD05BF">
      <w:pPr>
        <w:pStyle w:val="33"/>
        <w:ind w:left="0" w:leftChars="0" w:firstLine="0" w:firstLineChars="0"/>
        <w:rPr>
          <w:color w:val="auto"/>
          <w:highlight w:val="none"/>
        </w:rPr>
      </w:pPr>
    </w:p>
    <w:p w14:paraId="739C0D68">
      <w:pPr>
        <w:spacing w:line="360" w:lineRule="auto"/>
        <w:ind w:firstLine="435"/>
        <w:rPr>
          <w:rFonts w:asciiTheme="minorEastAsia" w:hAnsiTheme="minorEastAsia" w:eastAsiaTheme="minorEastAsia"/>
          <w:color w:val="auto"/>
          <w:sz w:val="24"/>
          <w:highlight w:val="none"/>
        </w:rPr>
      </w:pPr>
    </w:p>
    <w:p w14:paraId="0E52BAC5">
      <w:pPr>
        <w:spacing w:line="360" w:lineRule="auto"/>
        <w:ind w:firstLine="435"/>
        <w:rPr>
          <w:rFonts w:hAnsi="宋体"/>
          <w:color w:val="auto"/>
          <w:sz w:val="24"/>
          <w:szCs w:val="28"/>
          <w:highlight w:val="none"/>
          <w:u w:val="single"/>
          <w:lang w:val="zh-CN"/>
        </w:rPr>
      </w:pP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hAnsi="宋体"/>
          <w:color w:val="auto"/>
          <w:sz w:val="24"/>
          <w:szCs w:val="28"/>
          <w:highlight w:val="none"/>
        </w:rPr>
        <w:t>代表联系方式：</w:t>
      </w:r>
      <w:r>
        <w:rPr>
          <w:rFonts w:hint="eastAsia" w:hAnsi="宋体"/>
          <w:color w:val="auto"/>
          <w:sz w:val="24"/>
          <w:szCs w:val="28"/>
          <w:highlight w:val="none"/>
          <w:u w:val="single"/>
        </w:rPr>
        <w:t xml:space="preserve">          （请填写手机号码）</w:t>
      </w:r>
    </w:p>
    <w:p w14:paraId="4D762A04">
      <w:pPr>
        <w:spacing w:line="360" w:lineRule="auto"/>
        <w:ind w:firstLine="435"/>
        <w:rPr>
          <w:rFonts w:hAnsi="宋体"/>
          <w:color w:val="auto"/>
          <w:sz w:val="24"/>
          <w:szCs w:val="28"/>
          <w:highlight w:val="none"/>
          <w:lang w:val="zh-CN"/>
        </w:rPr>
      </w:pPr>
    </w:p>
    <w:p w14:paraId="0F80E437">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6DA0D7E">
      <w:pPr>
        <w:spacing w:line="360" w:lineRule="auto"/>
        <w:rPr>
          <w:rFonts w:ascii="宋体" w:hAnsi="宋体"/>
          <w:color w:val="auto"/>
          <w:sz w:val="24"/>
          <w:szCs w:val="28"/>
          <w:highlight w:val="none"/>
        </w:rPr>
      </w:pPr>
    </w:p>
    <w:p w14:paraId="1A977D3B">
      <w:pPr>
        <w:spacing w:line="360" w:lineRule="auto"/>
        <w:ind w:firstLine="435"/>
        <w:rPr>
          <w:rFonts w:asciiTheme="minorEastAsia" w:hAnsiTheme="minorEastAsia" w:eastAsiaTheme="minorEastAsia"/>
          <w:color w:val="auto"/>
          <w:sz w:val="24"/>
          <w:highlight w:val="none"/>
        </w:rPr>
      </w:pPr>
    </w:p>
    <w:p w14:paraId="48959EC4">
      <w:pPr>
        <w:spacing w:line="360" w:lineRule="auto"/>
        <w:rPr>
          <w:rFonts w:hint="default"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color w:val="auto"/>
          <w:sz w:val="24"/>
          <w:highlight w:val="none"/>
          <w:lang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委托</w:t>
      </w:r>
      <w:r>
        <w:rPr>
          <w:rFonts w:hint="eastAsia" w:asciiTheme="minorEastAsia" w:hAnsiTheme="minorEastAsia" w:eastAsiaTheme="minorEastAsia"/>
          <w:color w:val="auto"/>
          <w:sz w:val="24"/>
          <w:highlight w:val="none"/>
        </w:rPr>
        <w:t>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7071F5FA">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3377E263">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2DA69787">
      <w:pPr>
        <w:pStyle w:val="17"/>
        <w:rPr>
          <w:rFonts w:hint="eastAsia" w:asciiTheme="minorEastAsia" w:hAnsiTheme="minorEastAsia" w:eastAsiaTheme="minorEastAsia" w:cstheme="minorEastAsia"/>
          <w:b w:val="0"/>
          <w:bCs w:val="0"/>
          <w:color w:val="auto"/>
          <w:sz w:val="24"/>
          <w:szCs w:val="24"/>
          <w:highlight w:val="none"/>
          <w:u w:val="none"/>
          <w:lang w:val="en-US" w:eastAsia="zh-CN"/>
        </w:rPr>
      </w:pPr>
    </w:p>
    <w:p w14:paraId="633B9A8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cstheme="minorEastAsia"/>
          <w:b w:val="0"/>
          <w:bCs w:val="0"/>
          <w:color w:val="auto"/>
          <w:sz w:val="24"/>
          <w:szCs w:val="24"/>
          <w:highlight w:val="none"/>
          <w:u w:val="none"/>
          <w:lang w:val="en-US" w:eastAsia="zh-CN"/>
        </w:rPr>
        <w:t>比选响应人</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（盖</w:t>
      </w:r>
      <w:r>
        <w:rPr>
          <w:rFonts w:hint="eastAsia" w:asciiTheme="minorEastAsia" w:hAnsiTheme="minorEastAsia" w:cstheme="minorEastAsia"/>
          <w:b w:val="0"/>
          <w:bCs w:val="0"/>
          <w:color w:val="auto"/>
          <w:sz w:val="24"/>
          <w:szCs w:val="24"/>
          <w:highlight w:val="none"/>
          <w:u w:val="none"/>
          <w:lang w:val="en-US" w:eastAsia="zh-CN"/>
        </w:rPr>
        <w:t>公</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章） </w:t>
      </w:r>
    </w:p>
    <w:p w14:paraId="412C7D8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法定代表人或</w:t>
      </w:r>
      <w:r>
        <w:rPr>
          <w:rFonts w:hint="eastAsia" w:ascii="楷体" w:hAnsi="楷体" w:eastAsia="楷体" w:cs="楷体"/>
          <w:color w:val="auto"/>
          <w:sz w:val="28"/>
          <w:szCs w:val="28"/>
          <w:highlight w:val="none"/>
        </w:rPr>
        <w:t>其</w:t>
      </w:r>
      <w:r>
        <w:rPr>
          <w:rFonts w:hint="eastAsia" w:asciiTheme="minorEastAsia" w:hAnsiTheme="minorEastAsia" w:eastAsiaTheme="minorEastAsia" w:cstheme="minorEastAsia"/>
          <w:b w:val="0"/>
          <w:bCs w:val="0"/>
          <w:color w:val="auto"/>
          <w:sz w:val="24"/>
          <w:szCs w:val="24"/>
          <w:highlight w:val="none"/>
          <w:u w:val="none"/>
          <w:lang w:val="en-US" w:eastAsia="zh-CN"/>
        </w:rPr>
        <w:t xml:space="preserve">委托代理人： </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（签字或盖章）</w:t>
      </w:r>
    </w:p>
    <w:p w14:paraId="541A2F4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宋体" w:hAnsi="宋体" w:eastAsia="宋体" w:cs="宋体"/>
          <w:color w:val="auto"/>
          <w:sz w:val="30"/>
          <w:szCs w:val="30"/>
          <w:highlight w:val="none"/>
          <w:lang w:val="en-US" w:eastAsia="zh-CN" w:bidi="ar"/>
        </w:rPr>
      </w:pPr>
      <w:r>
        <w:rPr>
          <w:rFonts w:hint="eastAsia" w:asciiTheme="minorEastAsia" w:hAnsiTheme="minorEastAsia" w:eastAsiaTheme="minorEastAsia" w:cstheme="minorEastAsia"/>
          <w:b w:val="0"/>
          <w:bCs w:val="0"/>
          <w:color w:val="auto"/>
          <w:sz w:val="24"/>
          <w:szCs w:val="24"/>
          <w:highlight w:val="none"/>
          <w:u w:val="none"/>
          <w:lang w:val="en-US" w:eastAsia="zh-CN"/>
        </w:rPr>
        <w:t>授权委托日期：</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p>
    <w:p w14:paraId="3E2AEB46">
      <w:pPr>
        <w:pStyle w:val="4"/>
        <w:widowControl/>
        <w:shd w:val="clear"/>
        <w:jc w:val="center"/>
        <w:rPr>
          <w:rFonts w:hint="eastAsia" w:ascii="仿宋" w:hAnsi="仿宋" w:eastAsia="仿宋" w:cs="仿宋"/>
          <w:b w:val="0"/>
          <w:bCs w:val="0"/>
          <w:color w:val="auto"/>
          <w:kern w:val="2"/>
          <w:sz w:val="32"/>
          <w:szCs w:val="32"/>
          <w:highlight w:val="none"/>
          <w:lang w:val="en-US" w:eastAsia="zh-CN" w:bidi="ar"/>
        </w:rPr>
      </w:pPr>
    </w:p>
    <w:p w14:paraId="6A09A0E3">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63300399">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p>
    <w:p w14:paraId="7B64BB71">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3、</w:t>
      </w:r>
      <w:r>
        <w:rPr>
          <w:rFonts w:hint="eastAsia" w:ascii="宋体" w:hAnsi="宋体" w:eastAsia="宋体" w:cs="宋体"/>
          <w:b/>
          <w:bCs/>
          <w:color w:val="auto"/>
          <w:sz w:val="32"/>
          <w:szCs w:val="32"/>
          <w:highlight w:val="none"/>
          <w:lang w:val="en-US" w:eastAsia="zh-CN" w:bidi="ar"/>
        </w:rPr>
        <w:t>营业执照</w:t>
      </w:r>
    </w:p>
    <w:p w14:paraId="52A11E6F">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kern w:val="2"/>
          <w:sz w:val="32"/>
          <w:szCs w:val="32"/>
          <w:highlight w:val="none"/>
          <w:lang w:val="en-US" w:eastAsia="zh-CN" w:bidi="ar"/>
        </w:rPr>
        <w:t>4、</w:t>
      </w:r>
      <w:r>
        <w:rPr>
          <w:rFonts w:hint="eastAsia" w:ascii="宋体" w:hAnsi="宋体" w:eastAsia="宋体" w:cs="宋体"/>
          <w:b/>
          <w:bCs/>
          <w:color w:val="auto"/>
          <w:kern w:val="2"/>
          <w:sz w:val="32"/>
          <w:szCs w:val="32"/>
          <w:highlight w:val="none"/>
          <w:lang w:val="en-US" w:eastAsia="zh-CN" w:bidi="ar"/>
        </w:rPr>
        <w:t>资格要求证明材料</w:t>
      </w:r>
    </w:p>
    <w:p w14:paraId="73E8AF66">
      <w:pPr>
        <w:numPr>
          <w:ilvl w:val="0"/>
          <w:numId w:val="0"/>
        </w:numPr>
        <w:kinsoku w:val="0"/>
        <w:autoSpaceDE w:val="0"/>
        <w:autoSpaceDN w:val="0"/>
        <w:adjustRightInd w:val="0"/>
        <w:snapToGrid w:val="0"/>
        <w:spacing w:line="500" w:lineRule="exact"/>
        <w:ind w:left="0" w:leftChars="0" w:firstLine="0" w:firstLineChars="0"/>
        <w:jc w:val="center"/>
        <w:textAlignment w:val="baseline"/>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5、投标人良好信誉证明</w:t>
      </w:r>
    </w:p>
    <w:p w14:paraId="508174C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31DCC045">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20108FA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84A819D">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FC9B49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65FF008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1A5D8332">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1A4830F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7DD3D35E">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08D46323">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43E0F55E">
      <w:pPr>
        <w:pStyle w:val="4"/>
        <w:widowControl/>
        <w:shd w:val="clear"/>
        <w:jc w:val="both"/>
        <w:rPr>
          <w:rFonts w:hint="eastAsia" w:ascii="宋体" w:hAnsi="宋体" w:eastAsia="宋体" w:cs="宋体"/>
          <w:b/>
          <w:bCs/>
          <w:color w:val="auto"/>
          <w:kern w:val="2"/>
          <w:sz w:val="32"/>
          <w:szCs w:val="32"/>
          <w:highlight w:val="none"/>
          <w:lang w:val="en-US" w:eastAsia="zh-CN" w:bidi="ar"/>
        </w:rPr>
      </w:pPr>
    </w:p>
    <w:p w14:paraId="5DAFE223">
      <w:pPr>
        <w:rPr>
          <w:rFonts w:hint="eastAsia"/>
          <w:highlight w:val="none"/>
          <w:lang w:val="en-US" w:eastAsia="zh-CN"/>
        </w:rPr>
      </w:pPr>
    </w:p>
    <w:p w14:paraId="1414D051">
      <w:pPr>
        <w:pStyle w:val="4"/>
        <w:widowControl/>
        <w:shd w:val="clear"/>
        <w:jc w:val="center"/>
        <w:rPr>
          <w:rFonts w:hint="eastAsia" w:ascii="宋体" w:hAnsi="宋体" w:eastAsia="宋体" w:cs="宋体"/>
          <w:b/>
          <w:bCs/>
          <w:color w:val="auto"/>
          <w:kern w:val="2"/>
          <w:sz w:val="32"/>
          <w:szCs w:val="32"/>
          <w:highlight w:val="none"/>
          <w:lang w:val="en-US" w:eastAsia="zh-CN" w:bidi="ar"/>
        </w:rPr>
      </w:pPr>
    </w:p>
    <w:p w14:paraId="1DA891B4">
      <w:pPr>
        <w:pStyle w:val="4"/>
        <w:widowControl/>
        <w:shd w:val="clear"/>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6、</w:t>
      </w:r>
      <w:r>
        <w:rPr>
          <w:rFonts w:hint="eastAsia" w:ascii="宋体" w:hAnsi="宋体" w:cs="宋体"/>
          <w:b/>
          <w:bCs/>
          <w:color w:val="auto"/>
          <w:sz w:val="32"/>
          <w:szCs w:val="32"/>
          <w:highlight w:val="none"/>
        </w:rPr>
        <w:t>服务需求及技术要求</w:t>
      </w:r>
      <w:r>
        <w:rPr>
          <w:rFonts w:hint="eastAsia" w:ascii="宋体" w:hAnsi="宋体" w:eastAsia="宋体" w:cs="宋体"/>
          <w:b/>
          <w:bCs/>
          <w:color w:val="auto"/>
          <w:kern w:val="2"/>
          <w:sz w:val="32"/>
          <w:szCs w:val="32"/>
          <w:highlight w:val="none"/>
          <w:lang w:val="en-US" w:eastAsia="zh-CN" w:bidi="ar"/>
        </w:rPr>
        <w:t>响应表</w:t>
      </w:r>
    </w:p>
    <w:p w14:paraId="76754F91">
      <w:pPr>
        <w:keepNext w:val="0"/>
        <w:keepLines w:val="0"/>
        <w:widowControl w:val="0"/>
        <w:suppressLineNumbers w:val="0"/>
        <w:shd w:val="clear"/>
        <w:tabs>
          <w:tab w:val="left" w:pos="1815"/>
        </w:tabs>
        <w:spacing w:before="0" w:beforeAutospacing="0" w:after="0" w:afterAutospacing="0" w:line="360" w:lineRule="auto"/>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项目名称：</w:t>
      </w:r>
    </w:p>
    <w:tbl>
      <w:tblPr>
        <w:tblStyle w:val="18"/>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9"/>
        <w:gridCol w:w="3222"/>
        <w:gridCol w:w="4227"/>
      </w:tblGrid>
      <w:tr w14:paraId="05AF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CCD1CD6">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序号</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4E705534">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default" w:ascii="仿宋" w:hAnsi="仿宋" w:eastAsia="仿宋" w:cs="仿宋"/>
                <w:color w:val="auto"/>
                <w:sz w:val="28"/>
                <w:szCs w:val="28"/>
                <w:highlight w:val="none"/>
                <w:lang w:val="en-US"/>
              </w:rPr>
              <w:t>服务需求及技术要求</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010E6E0F">
            <w:pPr>
              <w:keepNext w:val="0"/>
              <w:keepLines w:val="0"/>
              <w:widowControl w:val="0"/>
              <w:suppressLineNumbers w:val="0"/>
              <w:shd w:val="clear"/>
              <w:spacing w:before="0" w:beforeAutospacing="0" w:after="0" w:afterAutospacing="0" w:line="360" w:lineRule="auto"/>
              <w:ind w:left="0" w:right="0"/>
              <w:jc w:val="center"/>
              <w:rPr>
                <w:rFonts w:hint="default"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响应服务需求及技术要求</w:t>
            </w:r>
          </w:p>
        </w:tc>
      </w:tr>
      <w:tr w14:paraId="075A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E08E0DB">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pacing w:val="-4"/>
                <w:sz w:val="28"/>
                <w:szCs w:val="28"/>
                <w:highlight w:val="none"/>
                <w:lang w:val="en-US"/>
              </w:rPr>
            </w:pPr>
            <w:r>
              <w:rPr>
                <w:rFonts w:hint="eastAsia" w:ascii="仿宋" w:hAnsi="仿宋" w:eastAsia="仿宋" w:cs="仿宋"/>
                <w:color w:val="auto"/>
                <w:spacing w:val="-4"/>
                <w:kern w:val="2"/>
                <w:sz w:val="28"/>
                <w:szCs w:val="28"/>
                <w:highlight w:val="none"/>
                <w:lang w:val="en-US" w:eastAsia="zh-CN" w:bidi="ar"/>
              </w:rPr>
              <w:t>1</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0A756635">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详见比选文件</w:t>
            </w:r>
          </w:p>
        </w:tc>
        <w:tc>
          <w:tcPr>
            <w:tcW w:w="4227" w:type="dxa"/>
            <w:tcBorders>
              <w:top w:val="single" w:color="auto" w:sz="4" w:space="0"/>
              <w:left w:val="single" w:color="auto" w:sz="4" w:space="0"/>
              <w:bottom w:val="single" w:color="auto" w:sz="4" w:space="0"/>
              <w:right w:val="single" w:color="auto" w:sz="4" w:space="0"/>
            </w:tcBorders>
            <w:shd w:val="clear" w:color="auto" w:fill="auto"/>
            <w:vAlign w:val="center"/>
          </w:tcPr>
          <w:p w14:paraId="42112A7C">
            <w:pPr>
              <w:keepNext w:val="0"/>
              <w:keepLines w:val="0"/>
              <w:widowControl w:val="0"/>
              <w:suppressLineNumbers w:val="0"/>
              <w:shd w:val="clear"/>
              <w:spacing w:before="0" w:beforeAutospacing="0" w:after="0" w:afterAutospacing="0" w:line="360" w:lineRule="auto"/>
              <w:ind w:left="0" w:right="0"/>
              <w:jc w:val="center"/>
              <w:rPr>
                <w:rFonts w:hint="eastAsia" w:ascii="仿宋" w:hAnsi="仿宋" w:eastAsia="仿宋" w:cs="仿宋"/>
                <w:b/>
                <w:bCs w:val="0"/>
                <w:color w:val="auto"/>
                <w:sz w:val="28"/>
                <w:szCs w:val="28"/>
                <w:highlight w:val="none"/>
                <w:lang w:val="en-US"/>
              </w:rPr>
            </w:pPr>
            <w:r>
              <w:rPr>
                <w:rFonts w:hint="eastAsia" w:ascii="仿宋" w:hAnsi="仿宋" w:eastAsia="仿宋" w:cs="仿宋"/>
                <w:b/>
                <w:bCs w:val="0"/>
                <w:color w:val="auto"/>
                <w:kern w:val="2"/>
                <w:sz w:val="28"/>
                <w:szCs w:val="28"/>
                <w:highlight w:val="none"/>
                <w:lang w:val="en-US" w:eastAsia="zh-CN" w:bidi="ar"/>
              </w:rPr>
              <w:t>我方完全响应比选文件所有内容</w:t>
            </w:r>
          </w:p>
        </w:tc>
      </w:tr>
    </w:tbl>
    <w:p w14:paraId="63228860">
      <w:pPr>
        <w:keepNext w:val="0"/>
        <w:keepLines w:val="0"/>
        <w:widowControl w:val="0"/>
        <w:suppressLineNumbers w:val="0"/>
        <w:shd w:val="clear"/>
        <w:spacing w:before="0" w:beforeAutospacing="0" w:after="0" w:afterAutospacing="0" w:line="360" w:lineRule="auto"/>
        <w:ind w:left="0" w:right="0"/>
        <w:jc w:val="both"/>
        <w:rPr>
          <w:rFonts w:hint="eastAsia" w:ascii="仿宋" w:hAnsi="仿宋" w:eastAsia="仿宋" w:cs="仿宋"/>
          <w:color w:val="auto"/>
          <w:sz w:val="28"/>
          <w:szCs w:val="28"/>
          <w:highlight w:val="none"/>
          <w:lang w:val="en-US"/>
        </w:rPr>
      </w:pPr>
    </w:p>
    <w:p w14:paraId="4CF02395">
      <w:pPr>
        <w:pStyle w:val="16"/>
        <w:widowControl/>
        <w:shd w:val="clear"/>
        <w:ind w:left="0" w:firstLine="240"/>
        <w:rPr>
          <w:rFonts w:hint="eastAsia" w:ascii="仿宋" w:hAnsi="仿宋" w:eastAsia="仿宋" w:cs="仿宋"/>
          <w:color w:val="auto"/>
          <w:sz w:val="28"/>
          <w:szCs w:val="28"/>
          <w:highlight w:val="none"/>
          <w:lang w:val="en-US"/>
        </w:rPr>
      </w:pPr>
    </w:p>
    <w:p w14:paraId="7F435122">
      <w:pPr>
        <w:pStyle w:val="16"/>
        <w:widowControl/>
        <w:shd w:val="clear"/>
        <w:ind w:left="0" w:firstLine="240"/>
        <w:rPr>
          <w:rFonts w:hint="eastAsia" w:ascii="仿宋" w:hAnsi="仿宋" w:eastAsia="仿宋" w:cs="仿宋"/>
          <w:color w:val="auto"/>
          <w:sz w:val="28"/>
          <w:szCs w:val="28"/>
          <w:highlight w:val="none"/>
          <w:lang w:val="en-US"/>
        </w:rPr>
      </w:pPr>
    </w:p>
    <w:p w14:paraId="16FCD7CA">
      <w:pPr>
        <w:pStyle w:val="16"/>
        <w:widowControl/>
        <w:shd w:val="clear"/>
        <w:ind w:left="0" w:firstLine="240"/>
        <w:rPr>
          <w:rFonts w:hint="eastAsia" w:ascii="仿宋" w:hAnsi="仿宋" w:eastAsia="仿宋" w:cs="仿宋"/>
          <w:color w:val="auto"/>
          <w:sz w:val="28"/>
          <w:szCs w:val="28"/>
          <w:highlight w:val="none"/>
          <w:lang w:val="en-US"/>
        </w:rPr>
      </w:pPr>
    </w:p>
    <w:p w14:paraId="50A31603">
      <w:pPr>
        <w:pStyle w:val="16"/>
        <w:widowControl/>
        <w:shd w:val="clear"/>
        <w:ind w:left="0" w:firstLine="240"/>
        <w:rPr>
          <w:rFonts w:hint="eastAsia" w:ascii="仿宋" w:hAnsi="仿宋" w:eastAsia="仿宋" w:cs="仿宋"/>
          <w:color w:val="auto"/>
          <w:sz w:val="28"/>
          <w:szCs w:val="28"/>
          <w:highlight w:val="none"/>
          <w:lang w:val="en-US"/>
        </w:rPr>
      </w:pPr>
    </w:p>
    <w:p w14:paraId="1FE12D1A">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23E4D875">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法定代表人或</w:t>
      </w:r>
      <w:r>
        <w:rPr>
          <w:rFonts w:hint="eastAsia" w:ascii="楷体" w:hAnsi="楷体" w:eastAsia="楷体" w:cs="楷体"/>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0130CD3B">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left="0" w:leftChars="0" w:right="0" w:rightChars="0" w:firstLine="3430" w:firstLineChars="1225"/>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 </w:t>
      </w:r>
    </w:p>
    <w:p w14:paraId="0E0A7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03CB2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left="0" w:right="0" w:firstLine="3977"/>
        <w:outlineLvl w:val="9"/>
        <w:rPr>
          <w:rFonts w:hint="eastAsia" w:ascii="宋体" w:hAnsi="宋体" w:eastAsia="宋体" w:cs="宋体"/>
          <w:b/>
          <w:bCs/>
          <w:color w:val="auto"/>
          <w:sz w:val="21"/>
          <w:szCs w:val="21"/>
          <w:highlight w:val="none"/>
        </w:rPr>
      </w:pPr>
    </w:p>
    <w:p w14:paraId="4409E5CB">
      <w:pPr>
        <w:rPr>
          <w:rFonts w:hint="eastAsia" w:ascii="宋体" w:hAnsi="宋体" w:eastAsia="宋体" w:cs="宋体"/>
          <w:b/>
          <w:bCs/>
          <w:color w:val="auto"/>
          <w:sz w:val="21"/>
          <w:szCs w:val="21"/>
          <w:highlight w:val="none"/>
        </w:rPr>
      </w:pPr>
    </w:p>
    <w:p w14:paraId="7962C46A">
      <w:pPr>
        <w:rPr>
          <w:rFonts w:hint="eastAsia" w:ascii="宋体" w:hAnsi="宋体" w:eastAsia="宋体" w:cs="宋体"/>
          <w:b/>
          <w:bCs/>
          <w:color w:val="auto"/>
          <w:sz w:val="21"/>
          <w:szCs w:val="21"/>
          <w:highlight w:val="none"/>
        </w:rPr>
      </w:pPr>
    </w:p>
    <w:p w14:paraId="7D8444D4">
      <w:pPr>
        <w:rPr>
          <w:rFonts w:hint="eastAsia" w:ascii="宋体" w:hAnsi="宋体" w:eastAsia="宋体" w:cs="宋体"/>
          <w:b/>
          <w:bCs/>
          <w:color w:val="auto"/>
          <w:sz w:val="21"/>
          <w:szCs w:val="21"/>
          <w:highlight w:val="none"/>
        </w:rPr>
      </w:pPr>
    </w:p>
    <w:p w14:paraId="2A95B38E">
      <w:pPr>
        <w:rPr>
          <w:rFonts w:hint="eastAsia" w:ascii="宋体" w:hAnsi="宋体" w:eastAsia="宋体" w:cs="宋体"/>
          <w:b/>
          <w:bCs/>
          <w:color w:val="auto"/>
          <w:sz w:val="21"/>
          <w:szCs w:val="21"/>
          <w:highlight w:val="none"/>
        </w:rPr>
      </w:pPr>
    </w:p>
    <w:p w14:paraId="0B28C4F1">
      <w:pPr>
        <w:rPr>
          <w:rFonts w:hint="eastAsia" w:ascii="宋体" w:hAnsi="宋体" w:eastAsia="宋体" w:cs="宋体"/>
          <w:b/>
          <w:bCs/>
          <w:color w:val="auto"/>
          <w:sz w:val="21"/>
          <w:szCs w:val="21"/>
          <w:highlight w:val="none"/>
        </w:rPr>
      </w:pPr>
    </w:p>
    <w:p w14:paraId="1E1DF5DF">
      <w:pPr>
        <w:rPr>
          <w:rFonts w:hint="eastAsia" w:ascii="宋体" w:hAnsi="宋体" w:eastAsia="宋体" w:cs="宋体"/>
          <w:b/>
          <w:bCs/>
          <w:color w:val="auto"/>
          <w:sz w:val="21"/>
          <w:szCs w:val="21"/>
          <w:highlight w:val="none"/>
        </w:rPr>
      </w:pPr>
    </w:p>
    <w:p w14:paraId="5A46A25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eastAsia" w:ascii="宋体" w:hAnsi="宋体" w:eastAsia="宋体" w:cs="宋体"/>
          <w:b w:val="0"/>
          <w:bCs w:val="0"/>
          <w:color w:val="auto"/>
          <w:sz w:val="36"/>
          <w:szCs w:val="36"/>
          <w:highlight w:val="none"/>
          <w:u w:val="none"/>
          <w:lang w:val="en-US" w:eastAsia="zh-CN"/>
        </w:rPr>
      </w:pPr>
    </w:p>
    <w:p w14:paraId="1A5EF648">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80" w:lineRule="atLeast"/>
        <w:ind w:leftChars="0" w:right="0" w:rightChars="0"/>
        <w:jc w:val="right"/>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正本（副本）</w:t>
      </w:r>
    </w:p>
    <w:p w14:paraId="08761784">
      <w:pPr>
        <w:keepNext w:val="0"/>
        <w:keepLines w:val="0"/>
        <w:widowControl/>
        <w:suppressLineNumbers w:val="0"/>
        <w:shd w:val="clear"/>
        <w:jc w:val="left"/>
        <w:rPr>
          <w:color w:val="auto"/>
          <w:highlight w:val="none"/>
        </w:rPr>
      </w:pPr>
    </w:p>
    <w:p w14:paraId="319DFFDA">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57169DBA">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15BC0C4F">
      <w:pPr>
        <w:pStyle w:val="33"/>
        <w:shd w:val="clear"/>
        <w:rPr>
          <w:rFonts w:hint="eastAsia"/>
          <w:color w:val="auto"/>
          <w:highlight w:val="none"/>
        </w:rPr>
      </w:pPr>
    </w:p>
    <w:p w14:paraId="0DC8D6A6">
      <w:pPr>
        <w:pStyle w:val="17"/>
        <w:shd w:val="clear"/>
        <w:rPr>
          <w:rFonts w:hint="eastAsia"/>
          <w:color w:val="auto"/>
          <w:highlight w:val="none"/>
        </w:rPr>
      </w:pPr>
    </w:p>
    <w:p w14:paraId="6EA8DEE7">
      <w:pPr>
        <w:pStyle w:val="17"/>
        <w:shd w:val="clear"/>
        <w:rPr>
          <w:rFonts w:hint="eastAsia"/>
          <w:color w:val="auto"/>
          <w:highlight w:val="none"/>
        </w:rPr>
      </w:pPr>
    </w:p>
    <w:p w14:paraId="6955CABF">
      <w:pPr>
        <w:pStyle w:val="17"/>
        <w:shd w:val="clear"/>
        <w:ind w:left="0" w:leftChars="0" w:firstLine="0" w:firstLineChars="0"/>
        <w:rPr>
          <w:rFonts w:hint="eastAsia"/>
          <w:color w:val="auto"/>
          <w:highlight w:val="none"/>
        </w:rPr>
      </w:pPr>
    </w:p>
    <w:p w14:paraId="1BC5B150">
      <w:pPr>
        <w:pStyle w:val="17"/>
        <w:shd w:val="clear"/>
        <w:rPr>
          <w:rFonts w:hint="eastAsia"/>
          <w:color w:val="auto"/>
          <w:highlight w:val="none"/>
        </w:rPr>
      </w:pPr>
    </w:p>
    <w:p w14:paraId="2173BE89">
      <w:pPr>
        <w:pStyle w:val="17"/>
        <w:shd w:val="clear"/>
        <w:ind w:left="0" w:leftChars="0" w:firstLine="0" w:firstLineChars="0"/>
        <w:rPr>
          <w:rFonts w:hint="eastAsia"/>
          <w:color w:val="auto"/>
          <w:highlight w:val="none"/>
        </w:rPr>
      </w:pPr>
    </w:p>
    <w:p w14:paraId="7D1784EC">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0BCFCA23">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技术部分                 </w:t>
      </w:r>
    </w:p>
    <w:p w14:paraId="5E77C06B">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比选响应</w:t>
      </w:r>
      <w:r>
        <w:rPr>
          <w:rFonts w:hint="eastAsia" w:ascii="楷体" w:hAnsi="楷体" w:eastAsia="楷体" w:cs="楷体"/>
          <w:color w:val="auto"/>
          <w:sz w:val="28"/>
          <w:szCs w:val="28"/>
          <w:highlight w:val="none"/>
        </w:rPr>
        <w:t>人</w:t>
      </w: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0677D9A2">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40459485">
      <w:pPr>
        <w:shd w:val="clear"/>
        <w:tabs>
          <w:tab w:val="left" w:pos="1440"/>
          <w:tab w:val="left" w:pos="8280"/>
        </w:tabs>
        <w:spacing w:line="800" w:lineRule="exact"/>
        <w:ind w:left="420" w:leftChars="200"/>
        <w:rPr>
          <w:rFonts w:hint="eastAsia" w:ascii="宋体" w:hAnsi="宋体" w:eastAsia="宋体" w:cs="宋体"/>
          <w:b/>
          <w:bCs/>
          <w:color w:val="auto"/>
          <w:sz w:val="28"/>
          <w:szCs w:val="28"/>
          <w:highlight w:val="none"/>
          <w:lang w:val="en-US" w:eastAsia="zh-CN"/>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2563B0E">
      <w:pPr>
        <w:pStyle w:val="6"/>
        <w:shd w:val="clear"/>
        <w:jc w:val="right"/>
        <w:rPr>
          <w:rFonts w:hint="eastAsia" w:ascii="宋体" w:hAnsi="宋体" w:eastAsia="宋体" w:cs="宋体"/>
          <w:b w:val="0"/>
          <w:bCs w:val="0"/>
          <w:color w:val="auto"/>
          <w:sz w:val="36"/>
          <w:szCs w:val="36"/>
          <w:highlight w:val="none"/>
          <w:u w:val="none"/>
          <w:lang w:val="en-US" w:eastAsia="zh-CN"/>
        </w:rPr>
      </w:pPr>
    </w:p>
    <w:p w14:paraId="2AA27519">
      <w:pPr>
        <w:pStyle w:val="6"/>
        <w:shd w:val="clear"/>
        <w:jc w:val="right"/>
        <w:rPr>
          <w:rFonts w:hint="eastAsia" w:ascii="宋体" w:hAnsi="宋体" w:eastAsia="宋体" w:cs="宋体"/>
          <w:b w:val="0"/>
          <w:bCs w:val="0"/>
          <w:color w:val="auto"/>
          <w:sz w:val="36"/>
          <w:szCs w:val="36"/>
          <w:highlight w:val="none"/>
          <w:u w:val="none"/>
          <w:lang w:val="en-US" w:eastAsia="zh-CN"/>
        </w:rPr>
      </w:pPr>
    </w:p>
    <w:p w14:paraId="36E8F454">
      <w:pPr>
        <w:pStyle w:val="6"/>
        <w:shd w:val="clear"/>
        <w:jc w:val="right"/>
        <w:rPr>
          <w:rFonts w:hint="eastAsia" w:ascii="宋体" w:hAnsi="宋体" w:eastAsia="宋体" w:cs="宋体"/>
          <w:b w:val="0"/>
          <w:bCs w:val="0"/>
          <w:color w:val="auto"/>
          <w:sz w:val="36"/>
          <w:szCs w:val="36"/>
          <w:highlight w:val="none"/>
          <w:u w:val="none"/>
          <w:lang w:val="en-US" w:eastAsia="zh-CN"/>
        </w:rPr>
      </w:pPr>
    </w:p>
    <w:p w14:paraId="042453AB">
      <w:pPr>
        <w:rPr>
          <w:rFonts w:hint="eastAsia" w:ascii="宋体" w:hAnsi="宋体"/>
          <w:bCs/>
          <w:color w:val="auto"/>
          <w:sz w:val="28"/>
          <w:szCs w:val="28"/>
          <w:highlight w:val="none"/>
        </w:rPr>
      </w:pPr>
      <w:r>
        <w:rPr>
          <w:rFonts w:hint="eastAsia" w:ascii="宋体" w:hAnsi="宋体"/>
          <w:bCs/>
          <w:color w:val="auto"/>
          <w:sz w:val="28"/>
          <w:szCs w:val="28"/>
          <w:highlight w:val="none"/>
        </w:rPr>
        <w:br w:type="page"/>
      </w:r>
    </w:p>
    <w:p w14:paraId="2FE1371E">
      <w:pPr>
        <w:pStyle w:val="6"/>
        <w:shd w:val="clear"/>
        <w:jc w:val="center"/>
        <w:rPr>
          <w:rFonts w:hint="eastAsia" w:ascii="宋体" w:hAnsi="宋体"/>
          <w:bCs/>
          <w:color w:val="auto"/>
          <w:sz w:val="28"/>
          <w:szCs w:val="28"/>
          <w:highlight w:val="none"/>
        </w:rPr>
      </w:pPr>
    </w:p>
    <w:p w14:paraId="1C39C56E">
      <w:pPr>
        <w:pStyle w:val="6"/>
        <w:shd w:val="clear"/>
        <w:jc w:val="center"/>
        <w:rPr>
          <w:rFonts w:hint="eastAsia" w:ascii="宋体" w:hAnsi="宋体"/>
          <w:bCs/>
          <w:color w:val="auto"/>
          <w:sz w:val="28"/>
          <w:szCs w:val="28"/>
          <w:highlight w:val="none"/>
        </w:rPr>
      </w:pPr>
    </w:p>
    <w:p w14:paraId="1BB8C209">
      <w:pPr>
        <w:pStyle w:val="6"/>
        <w:shd w:val="clear"/>
        <w:jc w:val="center"/>
        <w:rPr>
          <w:rFonts w:hint="eastAsia" w:ascii="宋体" w:hAnsi="宋体"/>
          <w:bCs/>
          <w:color w:val="auto"/>
          <w:sz w:val="28"/>
          <w:szCs w:val="28"/>
          <w:highlight w:val="none"/>
        </w:rPr>
      </w:pPr>
    </w:p>
    <w:p w14:paraId="5E77AD94">
      <w:pPr>
        <w:pStyle w:val="6"/>
        <w:shd w:val="clear"/>
        <w:jc w:val="center"/>
        <w:rPr>
          <w:rFonts w:hint="eastAsia" w:ascii="宋体" w:hAnsi="宋体"/>
          <w:bCs/>
          <w:color w:val="auto"/>
          <w:sz w:val="28"/>
          <w:szCs w:val="28"/>
          <w:highlight w:val="none"/>
        </w:rPr>
      </w:pPr>
    </w:p>
    <w:p w14:paraId="23838A42">
      <w:pPr>
        <w:pStyle w:val="6"/>
        <w:shd w:val="clear"/>
        <w:jc w:val="center"/>
        <w:rPr>
          <w:rFonts w:hint="eastAsia" w:ascii="宋体" w:hAnsi="宋体"/>
          <w:bCs/>
          <w:color w:val="auto"/>
          <w:sz w:val="28"/>
          <w:szCs w:val="28"/>
          <w:highlight w:val="none"/>
        </w:rPr>
      </w:pPr>
      <w:r>
        <w:rPr>
          <w:rFonts w:hint="eastAsia" w:ascii="宋体" w:hAnsi="宋体"/>
          <w:bCs/>
          <w:color w:val="auto"/>
          <w:sz w:val="28"/>
          <w:szCs w:val="28"/>
          <w:highlight w:val="none"/>
        </w:rPr>
        <w:t>根据评分标准要求提供材料，格式自理。</w:t>
      </w:r>
    </w:p>
    <w:p w14:paraId="2A04BDC9">
      <w:pPr>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br w:type="page"/>
      </w:r>
    </w:p>
    <w:p w14:paraId="552E63CB">
      <w:pPr>
        <w:pStyle w:val="6"/>
        <w:shd w:val="clear"/>
        <w:jc w:val="righ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36"/>
          <w:szCs w:val="36"/>
          <w:highlight w:val="none"/>
          <w:u w:val="none"/>
          <w:lang w:val="en-US" w:eastAsia="zh-CN"/>
        </w:rPr>
        <w:t>正本（副本）</w:t>
      </w:r>
    </w:p>
    <w:p w14:paraId="13D343DC">
      <w:pPr>
        <w:pStyle w:val="6"/>
        <w:shd w:val="clear"/>
        <w:rPr>
          <w:rFonts w:hint="eastAsia" w:ascii="宋体" w:hAnsi="宋体" w:eastAsia="宋体" w:cs="宋体"/>
          <w:b/>
          <w:bCs/>
          <w:color w:val="auto"/>
          <w:sz w:val="21"/>
          <w:szCs w:val="21"/>
          <w:highlight w:val="none"/>
        </w:rPr>
      </w:pPr>
    </w:p>
    <w:p w14:paraId="309BC103">
      <w:pPr>
        <w:pStyle w:val="6"/>
        <w:shd w:val="clear"/>
        <w:rPr>
          <w:rFonts w:hint="eastAsia" w:ascii="宋体" w:hAnsi="宋体" w:eastAsia="宋体" w:cs="宋体"/>
          <w:b/>
          <w:bCs/>
          <w:color w:val="auto"/>
          <w:sz w:val="21"/>
          <w:szCs w:val="21"/>
          <w:highlight w:val="none"/>
        </w:rPr>
      </w:pPr>
    </w:p>
    <w:p w14:paraId="63621611">
      <w:pPr>
        <w:shd w:val="clear"/>
        <w:ind w:firstLine="1200" w:firstLineChars="300"/>
        <w:rPr>
          <w:rFonts w:ascii="楷体" w:hAnsi="楷体" w:eastAsia="楷体" w:cs="楷体"/>
          <w:bCs/>
          <w:color w:val="auto"/>
          <w:sz w:val="44"/>
          <w:szCs w:val="44"/>
          <w:highlight w:val="none"/>
        </w:rPr>
      </w:pP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 xml:space="preserve">    </w:t>
      </w:r>
      <w:r>
        <w:rPr>
          <w:rFonts w:hint="eastAsia" w:ascii="仿宋" w:hAnsi="仿宋" w:eastAsia="仿宋" w:cs="仿宋"/>
          <w:color w:val="auto"/>
          <w:sz w:val="40"/>
          <w:szCs w:val="40"/>
          <w:highlight w:val="none"/>
          <w:u w:val="single"/>
        </w:rPr>
        <w:t xml:space="preserve">  </w:t>
      </w:r>
      <w:r>
        <w:rPr>
          <w:rFonts w:hint="eastAsia" w:ascii="仿宋" w:hAnsi="仿宋" w:eastAsia="仿宋" w:cs="仿宋"/>
          <w:color w:val="auto"/>
          <w:sz w:val="40"/>
          <w:szCs w:val="40"/>
          <w:highlight w:val="none"/>
          <w:u w:val="single"/>
          <w:lang w:val="en-US" w:eastAsia="zh-CN"/>
        </w:rPr>
        <w:t>项目名称</w:t>
      </w:r>
      <w:r>
        <w:rPr>
          <w:rFonts w:hint="eastAsia" w:ascii="仿宋" w:hAnsi="仿宋" w:eastAsia="仿宋" w:cs="仿宋"/>
          <w:color w:val="auto"/>
          <w:sz w:val="40"/>
          <w:szCs w:val="40"/>
          <w:highlight w:val="none"/>
          <w:u w:val="single"/>
        </w:rPr>
        <w:t xml:space="preserve">                </w:t>
      </w:r>
    </w:p>
    <w:p w14:paraId="7596F5D5">
      <w:pPr>
        <w:shd w:val="clear"/>
        <w:jc w:val="center"/>
        <w:rPr>
          <w:rFonts w:ascii="楷体" w:hAnsi="楷体" w:eastAsia="楷体" w:cs="楷体"/>
          <w:b/>
          <w:bCs/>
          <w:color w:val="auto"/>
          <w:sz w:val="52"/>
          <w:szCs w:val="52"/>
          <w:highlight w:val="none"/>
        </w:rPr>
      </w:pPr>
      <w:r>
        <w:rPr>
          <w:rFonts w:hint="eastAsia" w:ascii="楷体" w:hAnsi="楷体" w:eastAsia="楷体" w:cs="楷体"/>
          <w:b/>
          <w:bCs/>
          <w:color w:val="auto"/>
          <w:sz w:val="52"/>
          <w:szCs w:val="52"/>
          <w:highlight w:val="none"/>
        </w:rPr>
        <w:t>比  选 响 应 文 件</w:t>
      </w:r>
    </w:p>
    <w:p w14:paraId="51DA7997">
      <w:pPr>
        <w:pStyle w:val="33"/>
        <w:shd w:val="clear"/>
        <w:rPr>
          <w:rFonts w:hint="eastAsia"/>
          <w:color w:val="auto"/>
          <w:highlight w:val="none"/>
        </w:rPr>
      </w:pPr>
    </w:p>
    <w:p w14:paraId="262E0420">
      <w:pPr>
        <w:pStyle w:val="17"/>
        <w:shd w:val="clear"/>
        <w:rPr>
          <w:rFonts w:hint="eastAsia"/>
          <w:color w:val="auto"/>
          <w:highlight w:val="none"/>
        </w:rPr>
      </w:pPr>
    </w:p>
    <w:p w14:paraId="7EFFB9B9">
      <w:pPr>
        <w:pStyle w:val="17"/>
        <w:shd w:val="clear"/>
        <w:rPr>
          <w:rFonts w:hint="eastAsia"/>
          <w:color w:val="auto"/>
          <w:highlight w:val="none"/>
        </w:rPr>
      </w:pPr>
    </w:p>
    <w:p w14:paraId="193C606F">
      <w:pPr>
        <w:pStyle w:val="17"/>
        <w:shd w:val="clear"/>
        <w:rPr>
          <w:rFonts w:hint="eastAsia"/>
          <w:color w:val="auto"/>
          <w:highlight w:val="none"/>
        </w:rPr>
      </w:pPr>
    </w:p>
    <w:p w14:paraId="2A575679">
      <w:pPr>
        <w:pStyle w:val="17"/>
        <w:shd w:val="clear"/>
        <w:rPr>
          <w:rFonts w:hint="eastAsia"/>
          <w:color w:val="auto"/>
          <w:highlight w:val="none"/>
        </w:rPr>
      </w:pPr>
    </w:p>
    <w:p w14:paraId="013FB571">
      <w:pPr>
        <w:pStyle w:val="17"/>
        <w:shd w:val="clear"/>
        <w:rPr>
          <w:rFonts w:hint="eastAsia"/>
          <w:color w:val="auto"/>
          <w:highlight w:val="none"/>
        </w:rPr>
      </w:pPr>
    </w:p>
    <w:p w14:paraId="0B204375">
      <w:pPr>
        <w:shd w:val="clear"/>
        <w:spacing w:line="800" w:lineRule="exact"/>
        <w:ind w:left="1820" w:leftChars="200" w:hanging="1400" w:hangingChars="500"/>
        <w:rPr>
          <w:rFonts w:hint="eastAsia" w:ascii="仿宋" w:hAnsi="仿宋" w:eastAsia="仿宋" w:cs="仿宋"/>
          <w:color w:val="auto"/>
          <w:kern w:val="2"/>
          <w:sz w:val="28"/>
          <w:szCs w:val="28"/>
          <w:highlight w:val="none"/>
          <w:u w:val="single"/>
          <w:lang w:val="en-US" w:eastAsia="zh-CN" w:bidi="ar-SA"/>
        </w:rPr>
      </w:pPr>
      <w:r>
        <w:rPr>
          <w:rFonts w:hint="eastAsia" w:ascii="楷体" w:hAnsi="楷体" w:eastAsia="楷体" w:cs="楷体"/>
          <w:color w:val="auto"/>
          <w:sz w:val="28"/>
          <w:szCs w:val="28"/>
          <w:highlight w:val="none"/>
          <w:lang w:val="en-US" w:eastAsia="zh-CN"/>
        </w:rPr>
        <w:t>项目</w:t>
      </w:r>
      <w:r>
        <w:rPr>
          <w:rFonts w:hint="eastAsia" w:ascii="楷体" w:hAnsi="楷体" w:eastAsia="楷体" w:cs="楷体"/>
          <w:color w:val="auto"/>
          <w:sz w:val="28"/>
          <w:szCs w:val="28"/>
          <w:highlight w:val="none"/>
        </w:rPr>
        <w:t>名称：</w:t>
      </w:r>
      <w:r>
        <w:rPr>
          <w:rFonts w:hint="eastAsia" w:ascii="仿宋" w:hAnsi="仿宋" w:eastAsia="仿宋" w:cs="仿宋"/>
          <w:color w:val="auto"/>
          <w:kern w:val="2"/>
          <w:sz w:val="28"/>
          <w:szCs w:val="28"/>
          <w:highlight w:val="none"/>
          <w:u w:val="single"/>
          <w:lang w:val="en-US" w:eastAsia="zh-CN" w:bidi="ar-SA"/>
        </w:rPr>
        <w:t xml:space="preserve">                                            </w:t>
      </w:r>
    </w:p>
    <w:p w14:paraId="68DCA134">
      <w:pPr>
        <w:shd w:val="clear"/>
        <w:spacing w:line="800" w:lineRule="exact"/>
        <w:ind w:left="1820" w:leftChars="200" w:hanging="1400" w:hangingChars="500"/>
        <w:rPr>
          <w:rFonts w:hint="default" w:ascii="楷体" w:hAnsi="楷体" w:eastAsia="楷体" w:cs="楷体"/>
          <w:color w:val="auto"/>
          <w:sz w:val="28"/>
          <w:szCs w:val="28"/>
          <w:highlight w:val="none"/>
          <w:u w:val="single"/>
          <w:lang w:val="en-US" w:eastAsia="zh-CN"/>
        </w:rPr>
      </w:pPr>
      <w:r>
        <w:rPr>
          <w:rFonts w:hint="eastAsia" w:ascii="楷体" w:hAnsi="楷体" w:eastAsia="楷体" w:cs="楷体"/>
          <w:color w:val="auto"/>
          <w:sz w:val="28"/>
          <w:szCs w:val="28"/>
          <w:highlight w:val="none"/>
          <w:lang w:val="en-US" w:eastAsia="zh-CN"/>
        </w:rPr>
        <w:t>比选响应文件内容：</w:t>
      </w:r>
      <w:r>
        <w:rPr>
          <w:rFonts w:hint="eastAsia" w:ascii="楷体" w:hAnsi="楷体" w:eastAsia="楷体" w:cs="楷体"/>
          <w:color w:val="auto"/>
          <w:sz w:val="28"/>
          <w:szCs w:val="28"/>
          <w:highlight w:val="none"/>
          <w:u w:val="single"/>
          <w:lang w:val="en-US" w:eastAsia="zh-CN"/>
        </w:rPr>
        <w:t xml:space="preserve">           商务部分                 </w:t>
      </w:r>
    </w:p>
    <w:p w14:paraId="08DE845F">
      <w:pPr>
        <w:shd w:val="clear"/>
        <w:spacing w:line="800" w:lineRule="exact"/>
        <w:ind w:left="0" w:leftChars="0" w:firstLine="420" w:firstLineChars="15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 xml:space="preserve">比选响应人： </w:t>
      </w:r>
      <w:r>
        <w:rPr>
          <w:rFonts w:hint="eastAsia" w:ascii="楷体" w:hAnsi="楷体" w:eastAsia="楷体" w:cs="楷体"/>
          <w:color w:val="auto"/>
          <w:sz w:val="28"/>
          <w:szCs w:val="28"/>
          <w:highlight w:val="none"/>
          <w:u w:val="single"/>
        </w:rPr>
        <w:t xml:space="preserve">                                 （盖章）</w:t>
      </w:r>
      <w:r>
        <w:rPr>
          <w:rFonts w:hint="eastAsia" w:ascii="楷体" w:hAnsi="楷体" w:eastAsia="楷体" w:cs="楷体"/>
          <w:color w:val="auto"/>
          <w:sz w:val="28"/>
          <w:szCs w:val="28"/>
          <w:highlight w:val="none"/>
        </w:rPr>
        <w:t xml:space="preserve">    </w:t>
      </w:r>
    </w:p>
    <w:p w14:paraId="183F699F">
      <w:pPr>
        <w:shd w:val="clear"/>
        <w:spacing w:line="800" w:lineRule="exact"/>
        <w:ind w:left="420" w:leftChars="200"/>
        <w:rPr>
          <w:rFonts w:hint="eastAsia" w:ascii="楷体" w:hAnsi="楷体" w:eastAsia="楷体" w:cs="楷体"/>
          <w:color w:val="auto"/>
          <w:sz w:val="28"/>
          <w:szCs w:val="28"/>
          <w:highlight w:val="none"/>
          <w:u w:val="single"/>
        </w:rPr>
      </w:pPr>
      <w:r>
        <w:rPr>
          <w:rFonts w:hint="eastAsia" w:ascii="楷体" w:hAnsi="楷体" w:eastAsia="楷体" w:cs="楷体"/>
          <w:color w:val="auto"/>
          <w:sz w:val="28"/>
          <w:szCs w:val="28"/>
          <w:highlight w:val="none"/>
        </w:rPr>
        <w:t>法定代表人或其委托代理人：</w:t>
      </w:r>
      <w:r>
        <w:rPr>
          <w:rFonts w:hint="eastAsia" w:ascii="楷体" w:hAnsi="楷体" w:eastAsia="楷体" w:cs="楷体"/>
          <w:color w:val="auto"/>
          <w:sz w:val="28"/>
          <w:szCs w:val="28"/>
          <w:highlight w:val="none"/>
          <w:u w:val="single"/>
        </w:rPr>
        <w:t xml:space="preserve">            （签字或盖章）</w:t>
      </w:r>
    </w:p>
    <w:p w14:paraId="3DD1FDD7">
      <w:pPr>
        <w:shd w:val="clear"/>
        <w:tabs>
          <w:tab w:val="left" w:pos="1440"/>
          <w:tab w:val="left" w:pos="8280"/>
        </w:tabs>
        <w:spacing w:line="800" w:lineRule="exact"/>
        <w:ind w:left="420" w:left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日    期：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年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 xml:space="preserve"> 月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w:t>
      </w:r>
    </w:p>
    <w:p w14:paraId="385BC60A">
      <w:pPr>
        <w:pStyle w:val="6"/>
        <w:shd w:val="clear"/>
        <w:rPr>
          <w:rFonts w:hint="eastAsia" w:ascii="楷体" w:hAnsi="楷体" w:eastAsia="楷体" w:cs="楷体"/>
          <w:color w:val="auto"/>
          <w:sz w:val="28"/>
          <w:szCs w:val="28"/>
          <w:highlight w:val="none"/>
        </w:rPr>
      </w:pPr>
    </w:p>
    <w:p w14:paraId="3D16BE05">
      <w:pPr>
        <w:pStyle w:val="6"/>
        <w:shd w:val="clear"/>
        <w:rPr>
          <w:rFonts w:hint="eastAsia" w:ascii="楷体" w:hAnsi="楷体" w:eastAsia="楷体" w:cs="楷体"/>
          <w:color w:val="auto"/>
          <w:sz w:val="28"/>
          <w:szCs w:val="28"/>
          <w:highlight w:val="none"/>
        </w:rPr>
      </w:pPr>
    </w:p>
    <w:p w14:paraId="37520B42">
      <w:pPr>
        <w:pStyle w:val="6"/>
        <w:shd w:val="clear"/>
        <w:rPr>
          <w:rFonts w:hint="eastAsia" w:ascii="楷体" w:hAnsi="楷体" w:eastAsia="楷体" w:cs="楷体"/>
          <w:color w:val="auto"/>
          <w:sz w:val="28"/>
          <w:szCs w:val="28"/>
          <w:highlight w:val="none"/>
        </w:rPr>
      </w:pPr>
    </w:p>
    <w:p w14:paraId="7A6BE685">
      <w:pPr>
        <w:pStyle w:val="4"/>
        <w:pageBreakBefore w:val="0"/>
        <w:widowControl w:val="0"/>
        <w:shd w:val="clear"/>
        <w:tabs>
          <w:tab w:val="left" w:pos="2730"/>
        </w:tabs>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一、比选</w:t>
      </w:r>
      <w:r>
        <w:rPr>
          <w:rFonts w:hint="eastAsia" w:ascii="仿宋" w:hAnsi="仿宋" w:eastAsia="仿宋" w:cs="仿宋"/>
          <w:color w:val="auto"/>
          <w:sz w:val="28"/>
          <w:szCs w:val="28"/>
          <w:highlight w:val="none"/>
        </w:rPr>
        <w:t>响应函</w:t>
      </w:r>
    </w:p>
    <w:p w14:paraId="224B76B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14:paraId="473AFAAE">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dstrike/>
          <w:color w:val="auto"/>
          <w:sz w:val="28"/>
          <w:szCs w:val="28"/>
          <w:highlight w:val="none"/>
        </w:rPr>
      </w:pPr>
      <w:r>
        <w:rPr>
          <w:rFonts w:hint="eastAsia" w:ascii="仿宋" w:hAnsi="仿宋" w:eastAsia="仿宋" w:cs="仿宋"/>
          <w:color w:val="auto"/>
          <w:sz w:val="28"/>
          <w:szCs w:val="28"/>
          <w:highlight w:val="none"/>
        </w:rPr>
        <w:t>我方已全面阅读和研究贵方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文件，已充分理解并掌握了本</w:t>
      </w:r>
      <w:r>
        <w:rPr>
          <w:rFonts w:hint="eastAsia" w:ascii="仿宋" w:hAnsi="仿宋" w:eastAsia="仿宋" w:cs="仿宋"/>
          <w:color w:val="auto"/>
          <w:sz w:val="28"/>
          <w:szCs w:val="28"/>
          <w:highlight w:val="none"/>
          <w:lang w:val="en-US" w:eastAsia="zh-CN"/>
        </w:rPr>
        <w:t>次比选</w:t>
      </w:r>
      <w:r>
        <w:rPr>
          <w:rFonts w:hint="eastAsia" w:ascii="仿宋" w:hAnsi="仿宋" w:eastAsia="仿宋" w:cs="仿宋"/>
          <w:color w:val="auto"/>
          <w:sz w:val="28"/>
          <w:szCs w:val="28"/>
          <w:highlight w:val="none"/>
        </w:rPr>
        <w:t>招标的全部有关情况。同意接受</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文件的全部内容和条件，以本投标书向你方发包的全部内容进行投标。根据贵方的</w:t>
      </w:r>
      <w:bookmarkStart w:id="0" w:name="_Hlk44287576"/>
      <w:r>
        <w:rPr>
          <w:rFonts w:hint="eastAsia" w:ascii="仿宋" w:hAnsi="仿宋" w:eastAsia="仿宋" w:cs="仿宋"/>
          <w:color w:val="auto"/>
          <w:sz w:val="28"/>
          <w:szCs w:val="28"/>
          <w:highlight w:val="none"/>
          <w:lang w:val="en-US" w:eastAsia="zh-CN"/>
        </w:rPr>
        <w:t>比选文件</w:t>
      </w:r>
      <w:bookmarkEnd w:id="0"/>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我方兹宣布同意如下：</w:t>
      </w:r>
    </w:p>
    <w:p w14:paraId="74A8A23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1.如我公司成交，我公司承诺愿意按</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文件规定缴纳履约保证金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和成交服务费。按本次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文件规定报价承诺</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23A89B79">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2.我方根据本次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文件的规定，严格履行合同的责任和义务,并保证于甲方（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人）要求的日期内完成服务，并通过甲方（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人）验收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我方任命</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同志为本项目项目负责人（附项目负责人身份证）</w:t>
      </w:r>
      <w:r>
        <w:rPr>
          <w:rFonts w:hint="eastAsia" w:ascii="仿宋" w:hAnsi="仿宋" w:eastAsia="仿宋" w:cs="仿宋"/>
          <w:color w:val="auto"/>
          <w:sz w:val="28"/>
          <w:szCs w:val="28"/>
          <w:highlight w:val="none"/>
          <w:u w:val="none"/>
          <w:lang w:val="en-US" w:eastAsia="zh-CN"/>
        </w:rPr>
        <w:t>。</w:t>
      </w:r>
    </w:p>
    <w:p w14:paraId="4479C037">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.我方已详细审核本次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文件，包括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文件附件、参考资料、</w:t>
      </w:r>
      <w:r>
        <w:rPr>
          <w:rFonts w:hint="eastAsia" w:ascii="仿宋" w:hAnsi="仿宋" w:eastAsia="仿宋" w:cs="仿宋"/>
          <w:color w:val="auto"/>
          <w:sz w:val="28"/>
          <w:szCs w:val="28"/>
          <w:highlight w:val="none"/>
          <w:lang w:val="en-US" w:eastAsia="zh-CN"/>
        </w:rPr>
        <w:t>更正公告</w:t>
      </w:r>
      <w:r>
        <w:rPr>
          <w:rFonts w:hint="eastAsia" w:ascii="仿宋" w:hAnsi="仿宋" w:eastAsia="仿宋" w:cs="仿宋"/>
          <w:color w:val="auto"/>
          <w:sz w:val="28"/>
          <w:szCs w:val="28"/>
          <w:highlight w:val="none"/>
        </w:rPr>
        <w:t>或图纸（如有），我方正式认可并遵守本次</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文件各项条款、规定及要求均无异议。</w:t>
      </w:r>
    </w:p>
    <w:p w14:paraId="66C01ED6">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.我方同意从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日期起遵循本</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文件，并在</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须知规定的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有效期之前均具有约束力。</w:t>
      </w:r>
    </w:p>
    <w:p w14:paraId="7F3D7C95">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.我方同意按贵方要求在</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规定时间内向贵方提供与其</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有关的任何证据或补充资料，否则，我方的响应文件可被贵方拒绝。</w:t>
      </w:r>
    </w:p>
    <w:p w14:paraId="1EA636D2">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.我方完全理解贵方不一定接受最低报价的</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w:t>
      </w:r>
    </w:p>
    <w:p w14:paraId="4814FC6F">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.我方同意</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文件规定的付款方式、服务</w:t>
      </w:r>
      <w:r>
        <w:rPr>
          <w:rFonts w:hint="eastAsia" w:ascii="仿宋" w:hAnsi="仿宋" w:eastAsia="仿宋" w:cs="仿宋"/>
          <w:color w:val="auto"/>
          <w:sz w:val="28"/>
          <w:szCs w:val="28"/>
          <w:highlight w:val="none"/>
          <w:lang w:eastAsia="zh-CN"/>
        </w:rPr>
        <w:t>（或供货）</w:t>
      </w:r>
      <w:r>
        <w:rPr>
          <w:rFonts w:hint="eastAsia" w:ascii="仿宋" w:hAnsi="仿宋" w:eastAsia="仿宋" w:cs="仿宋"/>
          <w:color w:val="auto"/>
          <w:sz w:val="28"/>
          <w:szCs w:val="28"/>
          <w:highlight w:val="none"/>
        </w:rPr>
        <w:t>期限。</w:t>
      </w:r>
    </w:p>
    <w:p w14:paraId="0C33EAC8">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我方承诺在收到中标通知书后，在中标通知书规定的期限内与你方签订合同。</w:t>
      </w:r>
    </w:p>
    <w:p w14:paraId="7DA2F511">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我方承诺在合同约定的期限内完成并移交全部合同</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w:t>
      </w:r>
    </w:p>
    <w:p w14:paraId="56FAF223">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.我方对响应文件中所提供资料、文件、证书及证件的真实性和有效性负责。</w:t>
      </w:r>
    </w:p>
    <w:p w14:paraId="70A4ABEB">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0B86D11A">
      <w:pPr>
        <w:pageBreakBefore w:val="0"/>
        <w:widowControl w:val="0"/>
        <w:shd w:val="clea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p>
    <w:p w14:paraId="49E64C07">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比选响应人：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 xml:space="preserve">（盖章） </w:t>
      </w:r>
    </w:p>
    <w:p w14:paraId="79CC4A64">
      <w:pPr>
        <w:keepNext w:val="0"/>
        <w:keepLines w:val="0"/>
        <w:pageBreakBefore w:val="0"/>
        <w:widowControl w:val="0"/>
        <w:numPr>
          <w:ilvl w:val="0"/>
          <w:numId w:val="0"/>
        </w:numPr>
        <w:shd w:val="clear"/>
        <w:kinsoku w:val="0"/>
        <w:wordWrap/>
        <w:overflowPunct/>
        <w:topLinePunct w:val="0"/>
        <w:autoSpaceDE w:val="0"/>
        <w:autoSpaceDN w:val="0"/>
        <w:bidi w:val="0"/>
        <w:adjustRightInd w:val="0"/>
        <w:snapToGrid w:val="0"/>
        <w:spacing w:line="500" w:lineRule="exact"/>
        <w:ind w:right="0" w:rightChars="0" w:firstLine="3080" w:firstLineChars="1100"/>
        <w:jc w:val="left"/>
        <w:textAlignment w:val="baseline"/>
        <w:rPr>
          <w:rFonts w:hint="eastAsia" w:ascii="仿宋" w:hAnsi="仿宋" w:eastAsia="仿宋" w:cs="仿宋"/>
          <w:color w:val="auto"/>
          <w:sz w:val="28"/>
          <w:szCs w:val="28"/>
          <w:highlight w:val="none"/>
          <w:lang w:val="en-US"/>
        </w:rPr>
      </w:pPr>
      <w:r>
        <w:rPr>
          <w:rFonts w:hint="eastAsia" w:ascii="仿宋" w:hAnsi="仿宋" w:eastAsia="仿宋" w:cs="仿宋"/>
          <w:b w:val="0"/>
          <w:bCs w:val="0"/>
          <w:color w:val="auto"/>
          <w:sz w:val="28"/>
          <w:szCs w:val="28"/>
          <w:highlight w:val="none"/>
          <w:u w:val="none"/>
          <w:lang w:val="en-US" w:eastAsia="zh-CN"/>
        </w:rPr>
        <w:t>法定代表人或</w:t>
      </w:r>
      <w:r>
        <w:rPr>
          <w:rFonts w:hint="eastAsia" w:ascii="仿宋" w:hAnsi="仿宋" w:eastAsia="仿宋" w:cs="仿宋"/>
          <w:color w:val="auto"/>
          <w:sz w:val="28"/>
          <w:szCs w:val="28"/>
          <w:highlight w:val="none"/>
        </w:rPr>
        <w:t>其</w:t>
      </w:r>
      <w:r>
        <w:rPr>
          <w:rFonts w:hint="eastAsia" w:ascii="仿宋" w:hAnsi="仿宋" w:eastAsia="仿宋" w:cs="仿宋"/>
          <w:b w:val="0"/>
          <w:bCs w:val="0"/>
          <w:color w:val="auto"/>
          <w:sz w:val="28"/>
          <w:szCs w:val="28"/>
          <w:highlight w:val="none"/>
          <w:u w:val="none"/>
          <w:lang w:val="en-US" w:eastAsia="zh-CN"/>
        </w:rPr>
        <w:t>委托代理人：</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（签字或盖章）</w:t>
      </w:r>
    </w:p>
    <w:p w14:paraId="78DBED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Autospacing="0" w:after="156" w:afterAutospacing="0" w:line="210" w:lineRule="atLeast"/>
        <w:ind w:right="0"/>
        <w:jc w:val="right"/>
        <w:outlineLvl w:val="9"/>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年   月   日</w:t>
      </w:r>
    </w:p>
    <w:p w14:paraId="79C7363C">
      <w:pPr>
        <w:rPr>
          <w:rFonts w:hint="eastAsia" w:ascii="仿宋" w:hAnsi="仿宋" w:eastAsia="仿宋" w:cs="仿宋"/>
          <w:b w:val="0"/>
          <w:bCs w:val="0"/>
          <w:color w:val="auto"/>
          <w:kern w:val="2"/>
          <w:sz w:val="28"/>
          <w:szCs w:val="28"/>
          <w:highlight w:val="none"/>
          <w:lang w:val="en-US" w:eastAsia="zh-CN" w:bidi="ar"/>
        </w:rPr>
      </w:pPr>
    </w:p>
    <w:p w14:paraId="7371A2EA">
      <w:pPr>
        <w:rPr>
          <w:rFonts w:hint="eastAsia" w:ascii="仿宋" w:hAnsi="仿宋" w:eastAsia="仿宋" w:cs="仿宋"/>
          <w:b w:val="0"/>
          <w:bCs w:val="0"/>
          <w:color w:val="auto"/>
          <w:kern w:val="2"/>
          <w:sz w:val="28"/>
          <w:szCs w:val="28"/>
          <w:highlight w:val="none"/>
          <w:lang w:val="en-US" w:eastAsia="zh-CN" w:bidi="ar"/>
        </w:rPr>
      </w:pPr>
    </w:p>
    <w:tbl>
      <w:tblPr>
        <w:tblStyle w:val="18"/>
        <w:tblpPr w:leftFromText="180" w:rightFromText="180" w:vertAnchor="text" w:horzAnchor="page" w:tblpX="1386" w:tblpY="782"/>
        <w:tblOverlap w:val="never"/>
        <w:tblW w:w="9585" w:type="dxa"/>
        <w:tblInd w:w="0" w:type="dxa"/>
        <w:tblLayout w:type="autofit"/>
        <w:tblCellMar>
          <w:top w:w="0" w:type="dxa"/>
          <w:left w:w="108" w:type="dxa"/>
          <w:bottom w:w="0" w:type="dxa"/>
          <w:right w:w="108" w:type="dxa"/>
        </w:tblCellMar>
      </w:tblPr>
      <w:tblGrid>
        <w:gridCol w:w="2325"/>
        <w:gridCol w:w="1305"/>
        <w:gridCol w:w="2040"/>
        <w:gridCol w:w="1620"/>
        <w:gridCol w:w="2295"/>
      </w:tblGrid>
      <w:tr w14:paraId="576101D8">
        <w:tblPrEx>
          <w:tblCellMar>
            <w:top w:w="0" w:type="dxa"/>
            <w:left w:w="108" w:type="dxa"/>
            <w:bottom w:w="0" w:type="dxa"/>
            <w:right w:w="108" w:type="dxa"/>
          </w:tblCellMar>
        </w:tblPrEx>
        <w:trPr>
          <w:trHeight w:val="800" w:hRule="atLeast"/>
        </w:trPr>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9CFFB64">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eastAsia" w:ascii="宋体" w:hAnsi="宋体" w:cs="宋体"/>
                <w:color w:val="auto"/>
                <w:sz w:val="22"/>
                <w:szCs w:val="22"/>
                <w:highlight w:val="none"/>
              </w:rPr>
              <w:t>内容</w:t>
            </w:r>
          </w:p>
        </w:tc>
        <w:tc>
          <w:tcPr>
            <w:tcW w:w="1305" w:type="dxa"/>
            <w:tcBorders>
              <w:top w:val="single" w:color="000000" w:sz="4" w:space="0"/>
              <w:left w:val="single" w:color="000000" w:sz="4" w:space="0"/>
              <w:bottom w:val="single" w:color="auto" w:sz="4" w:space="0"/>
              <w:right w:val="single" w:color="000000" w:sz="4" w:space="0"/>
            </w:tcBorders>
            <w:noWrap w:val="0"/>
            <w:vAlign w:val="center"/>
          </w:tcPr>
          <w:p w14:paraId="7F03E709">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数量（项）</w:t>
            </w:r>
          </w:p>
        </w:tc>
        <w:tc>
          <w:tcPr>
            <w:tcW w:w="2040" w:type="dxa"/>
            <w:tcBorders>
              <w:top w:val="single" w:color="000000" w:sz="4" w:space="0"/>
              <w:left w:val="single" w:color="000000" w:sz="4" w:space="0"/>
              <w:bottom w:val="single" w:color="auto" w:sz="4" w:space="0"/>
              <w:right w:val="single" w:color="000000" w:sz="4" w:space="0"/>
            </w:tcBorders>
            <w:noWrap w:val="0"/>
            <w:vAlign w:val="center"/>
          </w:tcPr>
          <w:p w14:paraId="1BDB73B7">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单价（元）</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E101611">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合计（元）</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F3ADF73">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备注</w:t>
            </w:r>
          </w:p>
        </w:tc>
      </w:tr>
      <w:tr w14:paraId="70E4D9CF">
        <w:tblPrEx>
          <w:tblCellMar>
            <w:top w:w="0" w:type="dxa"/>
            <w:left w:w="108" w:type="dxa"/>
            <w:bottom w:w="0" w:type="dxa"/>
            <w:right w:w="108" w:type="dxa"/>
          </w:tblCellMar>
        </w:tblPrEx>
        <w:trPr>
          <w:trHeight w:val="800" w:hRule="atLeast"/>
        </w:trPr>
        <w:tc>
          <w:tcPr>
            <w:tcW w:w="2325" w:type="dxa"/>
            <w:tcBorders>
              <w:top w:val="single" w:color="000000" w:sz="4" w:space="0"/>
              <w:left w:val="single" w:color="000000" w:sz="4" w:space="0"/>
              <w:bottom w:val="single" w:color="000000" w:sz="4" w:space="0"/>
              <w:right w:val="single" w:color="auto" w:sz="4" w:space="0"/>
            </w:tcBorders>
            <w:noWrap w:val="0"/>
            <w:vAlign w:val="center"/>
          </w:tcPr>
          <w:p w14:paraId="03B6A2D3">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color w:val="auto"/>
                <w:highlight w:val="none"/>
              </w:rPr>
              <w:t>项目建议书</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341C7C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DDDD49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1620" w:type="dxa"/>
            <w:tcBorders>
              <w:top w:val="single" w:color="000000" w:sz="4" w:space="0"/>
              <w:left w:val="single" w:color="auto" w:sz="4" w:space="0"/>
              <w:bottom w:val="single" w:color="000000" w:sz="4" w:space="0"/>
              <w:right w:val="single" w:color="000000" w:sz="4" w:space="0"/>
            </w:tcBorders>
            <w:noWrap w:val="0"/>
            <w:vAlign w:val="center"/>
          </w:tcPr>
          <w:p w14:paraId="54F62DE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25A5B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r>
      <w:tr w14:paraId="46972309">
        <w:tblPrEx>
          <w:tblCellMar>
            <w:top w:w="0" w:type="dxa"/>
            <w:left w:w="108" w:type="dxa"/>
            <w:bottom w:w="0" w:type="dxa"/>
            <w:right w:w="108" w:type="dxa"/>
          </w:tblCellMar>
        </w:tblPrEx>
        <w:trPr>
          <w:trHeight w:val="800" w:hRule="atLeast"/>
        </w:trPr>
        <w:tc>
          <w:tcPr>
            <w:tcW w:w="2325" w:type="dxa"/>
            <w:tcBorders>
              <w:top w:val="single" w:color="000000" w:sz="4" w:space="0"/>
              <w:left w:val="single" w:color="000000" w:sz="4" w:space="0"/>
              <w:bottom w:val="single" w:color="000000" w:sz="4" w:space="0"/>
              <w:right w:val="single" w:color="auto" w:sz="4" w:space="0"/>
            </w:tcBorders>
            <w:noWrap w:val="0"/>
            <w:vAlign w:val="center"/>
          </w:tcPr>
          <w:p w14:paraId="191698BE">
            <w:pPr>
              <w:keepNext w:val="0"/>
              <w:keepLines w:val="0"/>
              <w:widowControl/>
              <w:suppressLineNumbers w:val="0"/>
              <w:spacing w:before="0" w:beforeAutospacing="0" w:after="0" w:afterAutospacing="0"/>
              <w:ind w:left="0" w:right="0"/>
              <w:jc w:val="center"/>
              <w:textAlignment w:val="center"/>
              <w:rPr>
                <w:rFonts w:hint="eastAsia"/>
                <w:color w:val="auto"/>
                <w:highlight w:val="none"/>
              </w:rPr>
            </w:pPr>
            <w:r>
              <w:rPr>
                <w:rFonts w:hint="eastAsia"/>
                <w:color w:val="auto"/>
                <w:highlight w:val="none"/>
              </w:rPr>
              <w:t>可行性研究报告</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A96ABE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4C82A4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1620" w:type="dxa"/>
            <w:tcBorders>
              <w:top w:val="single" w:color="000000" w:sz="4" w:space="0"/>
              <w:left w:val="single" w:color="auto" w:sz="4" w:space="0"/>
              <w:bottom w:val="single" w:color="000000" w:sz="4" w:space="0"/>
              <w:right w:val="single" w:color="000000" w:sz="4" w:space="0"/>
            </w:tcBorders>
            <w:noWrap w:val="0"/>
            <w:vAlign w:val="center"/>
          </w:tcPr>
          <w:p w14:paraId="5C93EC3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FB4E6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r>
      <w:tr w14:paraId="4AF7AF55">
        <w:tblPrEx>
          <w:tblCellMar>
            <w:top w:w="0" w:type="dxa"/>
            <w:left w:w="108" w:type="dxa"/>
            <w:bottom w:w="0" w:type="dxa"/>
            <w:right w:w="108" w:type="dxa"/>
          </w:tblCellMar>
        </w:tblPrEx>
        <w:trPr>
          <w:trHeight w:val="800" w:hRule="atLeast"/>
        </w:trPr>
        <w:tc>
          <w:tcPr>
            <w:tcW w:w="2325" w:type="dxa"/>
            <w:tcBorders>
              <w:top w:val="single" w:color="000000" w:sz="4" w:space="0"/>
              <w:left w:val="single" w:color="000000" w:sz="4" w:space="0"/>
              <w:bottom w:val="single" w:color="000000" w:sz="4" w:space="0"/>
              <w:right w:val="single" w:color="auto" w:sz="4" w:space="0"/>
            </w:tcBorders>
            <w:noWrap w:val="0"/>
            <w:vAlign w:val="center"/>
          </w:tcPr>
          <w:p w14:paraId="57E583BA">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color w:val="auto"/>
                <w:highlight w:val="none"/>
              </w:rPr>
              <w:t>项目规划报告</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186E95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2"/>
                <w:szCs w:val="22"/>
                <w:highlight w:val="none"/>
                <w:lang w:bidi="ar"/>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2EB490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1620" w:type="dxa"/>
            <w:tcBorders>
              <w:top w:val="single" w:color="000000" w:sz="4" w:space="0"/>
              <w:left w:val="single" w:color="auto" w:sz="4" w:space="0"/>
              <w:bottom w:val="single" w:color="000000" w:sz="4" w:space="0"/>
              <w:right w:val="single" w:color="000000" w:sz="4" w:space="0"/>
            </w:tcBorders>
            <w:noWrap w:val="0"/>
            <w:vAlign w:val="center"/>
          </w:tcPr>
          <w:p w14:paraId="5A4369B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EFEC48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r>
      <w:tr w14:paraId="20AD145D">
        <w:tblPrEx>
          <w:tblCellMar>
            <w:top w:w="0" w:type="dxa"/>
            <w:left w:w="108" w:type="dxa"/>
            <w:bottom w:w="0" w:type="dxa"/>
            <w:right w:w="108" w:type="dxa"/>
          </w:tblCellMar>
        </w:tblPrEx>
        <w:trPr>
          <w:trHeight w:val="800" w:hRule="atLeast"/>
        </w:trPr>
        <w:tc>
          <w:tcPr>
            <w:tcW w:w="2325" w:type="dxa"/>
            <w:tcBorders>
              <w:top w:val="single" w:color="000000" w:sz="4" w:space="0"/>
              <w:left w:val="single" w:color="000000" w:sz="4" w:space="0"/>
              <w:bottom w:val="single" w:color="000000" w:sz="4" w:space="0"/>
              <w:right w:val="single" w:color="auto" w:sz="4" w:space="0"/>
            </w:tcBorders>
            <w:noWrap w:val="0"/>
            <w:vAlign w:val="center"/>
          </w:tcPr>
          <w:p w14:paraId="3D6BE34C">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z w:val="22"/>
                <w:szCs w:val="22"/>
                <w:highlight w:val="none"/>
              </w:rPr>
            </w:pPr>
            <w:r>
              <w:rPr>
                <w:rFonts w:hint="eastAsia" w:ascii="宋体" w:hAnsi="宋体" w:cs="宋体"/>
                <w:b/>
                <w:bCs/>
                <w:color w:val="auto"/>
                <w:sz w:val="22"/>
                <w:szCs w:val="22"/>
                <w:highlight w:val="none"/>
              </w:rPr>
              <w:t>投资概算</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7A5925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32CEC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1620" w:type="dxa"/>
            <w:tcBorders>
              <w:top w:val="single" w:color="000000" w:sz="4" w:space="0"/>
              <w:left w:val="single" w:color="auto" w:sz="4" w:space="0"/>
              <w:bottom w:val="single" w:color="000000" w:sz="4" w:space="0"/>
              <w:right w:val="single" w:color="000000" w:sz="4" w:space="0"/>
            </w:tcBorders>
            <w:noWrap w:val="0"/>
            <w:vAlign w:val="center"/>
          </w:tcPr>
          <w:p w14:paraId="7601B35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47165F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r>
      <w:tr w14:paraId="465FB328">
        <w:tblPrEx>
          <w:tblCellMar>
            <w:top w:w="0" w:type="dxa"/>
            <w:left w:w="108" w:type="dxa"/>
            <w:bottom w:w="0" w:type="dxa"/>
            <w:right w:w="108" w:type="dxa"/>
          </w:tblCellMar>
        </w:tblPrEx>
        <w:trPr>
          <w:trHeight w:val="800" w:hRule="atLeast"/>
        </w:trPr>
        <w:tc>
          <w:tcPr>
            <w:tcW w:w="2325" w:type="dxa"/>
            <w:tcBorders>
              <w:top w:val="single" w:color="000000" w:sz="4" w:space="0"/>
              <w:left w:val="single" w:color="000000" w:sz="4" w:space="0"/>
              <w:bottom w:val="single" w:color="000000" w:sz="4" w:space="0"/>
              <w:right w:val="single" w:color="auto" w:sz="4" w:space="0"/>
            </w:tcBorders>
            <w:noWrap w:val="0"/>
            <w:vAlign w:val="center"/>
          </w:tcPr>
          <w:p w14:paraId="161CDD3E">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A05879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szCs w:val="22"/>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C36EF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1620" w:type="dxa"/>
            <w:tcBorders>
              <w:top w:val="single" w:color="000000" w:sz="4" w:space="0"/>
              <w:left w:val="single" w:color="auto" w:sz="4" w:space="0"/>
              <w:bottom w:val="single" w:color="000000" w:sz="4" w:space="0"/>
              <w:right w:val="single" w:color="000000" w:sz="4" w:space="0"/>
            </w:tcBorders>
            <w:noWrap w:val="0"/>
            <w:vAlign w:val="center"/>
          </w:tcPr>
          <w:p w14:paraId="65E2BE6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473DF2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szCs w:val="22"/>
                <w:highlight w:val="none"/>
              </w:rPr>
            </w:pPr>
          </w:p>
        </w:tc>
      </w:tr>
      <w:tr w14:paraId="39A89E72">
        <w:tblPrEx>
          <w:tblCellMar>
            <w:top w:w="0" w:type="dxa"/>
            <w:left w:w="108" w:type="dxa"/>
            <w:bottom w:w="0" w:type="dxa"/>
            <w:right w:w="108" w:type="dxa"/>
          </w:tblCellMar>
        </w:tblPrEx>
        <w:trPr>
          <w:trHeight w:val="787"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38C5A8AD">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总计（元）：</w:t>
            </w:r>
          </w:p>
        </w:tc>
      </w:tr>
    </w:tbl>
    <w:p w14:paraId="5875C074">
      <w:pPr>
        <w:tabs>
          <w:tab w:val="left" w:pos="3981"/>
        </w:tabs>
        <w:jc w:val="center"/>
        <w:rPr>
          <w:rFonts w:hint="eastAsia"/>
          <w:color w:val="auto"/>
          <w:highlight w:val="none"/>
        </w:rPr>
      </w:pPr>
      <w:r>
        <w:rPr>
          <w:rFonts w:hint="eastAsia" w:ascii="宋体" w:hAnsi="宋体" w:cs="宋体"/>
          <w:b/>
          <w:bCs/>
          <w:color w:val="auto"/>
          <w:sz w:val="28"/>
          <w:szCs w:val="28"/>
          <w:highlight w:val="none"/>
          <w:lang w:val="en-US" w:eastAsia="zh-CN"/>
        </w:rPr>
        <w:t>二、</w:t>
      </w:r>
      <w:r>
        <w:rPr>
          <w:rFonts w:hint="eastAsia" w:ascii="宋体" w:hAnsi="宋体" w:cs="宋体"/>
          <w:b/>
          <w:bCs/>
          <w:color w:val="auto"/>
          <w:sz w:val="28"/>
          <w:szCs w:val="28"/>
          <w:highlight w:val="none"/>
        </w:rPr>
        <w:t>明细报价表（参考格式）</w:t>
      </w:r>
    </w:p>
    <w:p w14:paraId="58D5AD6F">
      <w:pPr>
        <w:rPr>
          <w:rFonts w:hint="eastAsia" w:ascii="宋体" w:hAnsi="宋体" w:cs="宋体"/>
          <w:color w:val="auto"/>
          <w:highlight w:val="none"/>
        </w:rPr>
      </w:pPr>
    </w:p>
    <w:p w14:paraId="39CA43C7">
      <w:pPr>
        <w:rPr>
          <w:rFonts w:hint="eastAsia" w:ascii="宋体" w:hAnsi="宋体" w:cs="宋体"/>
          <w:color w:val="auto"/>
          <w:highlight w:val="none"/>
        </w:rPr>
      </w:pPr>
    </w:p>
    <w:p w14:paraId="017A9D30">
      <w:pPr>
        <w:spacing w:line="300" w:lineRule="exact"/>
        <w:rPr>
          <w:rFonts w:hint="eastAsia" w:ascii="宋体" w:hAnsi="宋体" w:cs="宋体"/>
          <w:color w:val="auto"/>
          <w:sz w:val="24"/>
          <w:highlight w:val="none"/>
        </w:rPr>
      </w:pPr>
      <w:r>
        <w:rPr>
          <w:rFonts w:hint="eastAsia" w:ascii="宋体" w:hAnsi="宋体" w:cs="宋体"/>
          <w:color w:val="auto"/>
          <w:sz w:val="24"/>
          <w:highlight w:val="none"/>
        </w:rPr>
        <w:t xml:space="preserve">                         投标单位（盖章）：</w:t>
      </w:r>
    </w:p>
    <w:p w14:paraId="2494BE24">
      <w:pPr>
        <w:spacing w:line="300" w:lineRule="exact"/>
        <w:ind w:right="240"/>
        <w:jc w:val="right"/>
        <w:rPr>
          <w:rFonts w:hint="eastAsia" w:ascii="宋体" w:hAnsi="宋体" w:cs="宋体"/>
          <w:color w:val="auto"/>
          <w:sz w:val="24"/>
          <w:highlight w:val="none"/>
        </w:rPr>
      </w:pPr>
    </w:p>
    <w:p w14:paraId="0DD687DD">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1EC688E">
      <w:pPr>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法定代表人或其委托代理人（签字或盖章）：</w:t>
      </w:r>
    </w:p>
    <w:p w14:paraId="4E8B0F01">
      <w:pPr>
        <w:spacing w:line="300" w:lineRule="exact"/>
        <w:jc w:val="right"/>
        <w:rPr>
          <w:rFonts w:hint="eastAsia" w:ascii="宋体" w:hAnsi="宋体" w:cs="宋体"/>
          <w:color w:val="auto"/>
          <w:sz w:val="24"/>
          <w:highlight w:val="none"/>
        </w:rPr>
      </w:pPr>
    </w:p>
    <w:p w14:paraId="3BD3713F">
      <w:pPr>
        <w:kinsoku w:val="0"/>
        <w:autoSpaceDE w:val="0"/>
        <w:autoSpaceDN w:val="0"/>
        <w:adjustRightInd w:val="0"/>
        <w:snapToGrid w:val="0"/>
        <w:spacing w:line="500" w:lineRule="exact"/>
        <w:ind w:firstLine="3784" w:firstLineChars="1577"/>
        <w:textAlignment w:val="baseline"/>
        <w:rPr>
          <w:rFonts w:hint="eastAsia" w:ascii="宋体" w:hAnsi="宋体" w:cs="宋体"/>
          <w:color w:val="auto"/>
          <w:sz w:val="24"/>
          <w:highlight w:val="none"/>
        </w:rPr>
      </w:pPr>
    </w:p>
    <w:p w14:paraId="6F93B011">
      <w:pPr>
        <w:kinsoku w:val="0"/>
        <w:autoSpaceDE w:val="0"/>
        <w:autoSpaceDN w:val="0"/>
        <w:adjustRightInd w:val="0"/>
        <w:snapToGrid w:val="0"/>
        <w:spacing w:line="500" w:lineRule="exact"/>
        <w:ind w:firstLine="2880" w:firstLineChars="1200"/>
        <w:textAlignment w:val="baseline"/>
        <w:rPr>
          <w:rFonts w:ascii="宋体" w:hAnsi="宋体" w:cs="宋体"/>
          <w:color w:val="auto"/>
          <w:sz w:val="24"/>
          <w:highlight w:val="none"/>
          <w:lang w:bidi="ar"/>
        </w:rPr>
      </w:pPr>
      <w:r>
        <w:rPr>
          <w:rFonts w:hint="eastAsia" w:ascii="宋体" w:hAnsi="宋体" w:cs="宋体"/>
          <w:color w:val="auto"/>
          <w:sz w:val="24"/>
          <w:highlight w:val="none"/>
        </w:rPr>
        <w:t>日期：_____年____月____日</w:t>
      </w:r>
    </w:p>
    <w:p w14:paraId="0F0B0C7C">
      <w:pPr>
        <w:shd w:val="clear"/>
        <w:rPr>
          <w:rFonts w:hint="eastAsia" w:ascii="宋体" w:hAnsi="宋体" w:eastAsia="宋体" w:cs="宋体"/>
          <w:color w:val="auto"/>
          <w:sz w:val="28"/>
          <w:szCs w:val="28"/>
          <w:highlight w:val="none"/>
          <w:lang w:val="en-US" w:eastAsia="zh-CN"/>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4361">
    <w:pPr>
      <w:tabs>
        <w:tab w:val="left" w:pos="4438"/>
      </w:tabs>
      <w:spacing w:before="58" w:line="230" w:lineRule="auto"/>
      <w:ind w:left="3778"/>
      <w:rPr>
        <w:rFonts w:ascii="宋体" w:hAnsi="宋体" w:eastAsia="宋体" w:cs="宋体"/>
        <w:sz w:val="17"/>
        <w:szCs w:val="17"/>
      </w:rPr>
    </w:pPr>
    <w:r>
      <w:rPr>
        <w:rFonts w:hint="eastAsia" w:ascii="宋体" w:hAnsi="宋体" w:eastAsia="宋体" w:cs="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44067"/>
    <w:multiLevelType w:val="singleLevel"/>
    <w:tmpl w:val="8B144067"/>
    <w:lvl w:ilvl="0" w:tentative="0">
      <w:start w:val="2"/>
      <w:numFmt w:val="chineseCounting"/>
      <w:suff w:val="nothing"/>
      <w:lvlText w:val="%1、"/>
      <w:lvlJc w:val="left"/>
      <w:rPr>
        <w:rFonts w:hint="eastAsia"/>
      </w:rPr>
    </w:lvl>
  </w:abstractNum>
  <w:abstractNum w:abstractNumId="1">
    <w:nsid w:val="CED72408"/>
    <w:multiLevelType w:val="singleLevel"/>
    <w:tmpl w:val="CED72408"/>
    <w:lvl w:ilvl="0" w:tentative="0">
      <w:start w:val="1"/>
      <w:numFmt w:val="decimal"/>
      <w:suff w:val="nothing"/>
      <w:lvlText w:val="（%1）"/>
      <w:lvlJc w:val="left"/>
    </w:lvl>
  </w:abstractNum>
  <w:abstractNum w:abstractNumId="2">
    <w:nsid w:val="F6185584"/>
    <w:multiLevelType w:val="singleLevel"/>
    <w:tmpl w:val="F618558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WNkNGY0Y2Y1YmZkMDdkYTE5NWFkZmQzYTAzNjEifQ=="/>
  </w:docVars>
  <w:rsids>
    <w:rsidRoot w:val="2DAE2C04"/>
    <w:rsid w:val="0087167F"/>
    <w:rsid w:val="00A17E82"/>
    <w:rsid w:val="016F283F"/>
    <w:rsid w:val="01A544B3"/>
    <w:rsid w:val="01BF00B8"/>
    <w:rsid w:val="01D73D68"/>
    <w:rsid w:val="02482711"/>
    <w:rsid w:val="0298237F"/>
    <w:rsid w:val="02996051"/>
    <w:rsid w:val="02B41DD9"/>
    <w:rsid w:val="02CA596A"/>
    <w:rsid w:val="02D84414"/>
    <w:rsid w:val="03795BF7"/>
    <w:rsid w:val="041B6CAE"/>
    <w:rsid w:val="04395196"/>
    <w:rsid w:val="04B52C5F"/>
    <w:rsid w:val="04B862AB"/>
    <w:rsid w:val="04F12A6A"/>
    <w:rsid w:val="05195543"/>
    <w:rsid w:val="052F5AAA"/>
    <w:rsid w:val="05500BDA"/>
    <w:rsid w:val="056A0FA1"/>
    <w:rsid w:val="05C3315A"/>
    <w:rsid w:val="0672634E"/>
    <w:rsid w:val="06E91DAA"/>
    <w:rsid w:val="07FE47FE"/>
    <w:rsid w:val="08283748"/>
    <w:rsid w:val="08852948"/>
    <w:rsid w:val="08927F10"/>
    <w:rsid w:val="08C11344"/>
    <w:rsid w:val="095C7502"/>
    <w:rsid w:val="09CE776D"/>
    <w:rsid w:val="0A3D172D"/>
    <w:rsid w:val="0A5E78F5"/>
    <w:rsid w:val="0AD100C7"/>
    <w:rsid w:val="0AD34B42"/>
    <w:rsid w:val="0AFD710E"/>
    <w:rsid w:val="0B2E43FE"/>
    <w:rsid w:val="0B755722"/>
    <w:rsid w:val="0B795AA7"/>
    <w:rsid w:val="0B9A5282"/>
    <w:rsid w:val="0BCB720C"/>
    <w:rsid w:val="0BD77370"/>
    <w:rsid w:val="0BE1520A"/>
    <w:rsid w:val="0DD00650"/>
    <w:rsid w:val="0DF85455"/>
    <w:rsid w:val="0E033D66"/>
    <w:rsid w:val="0E19600D"/>
    <w:rsid w:val="0E7C5AF4"/>
    <w:rsid w:val="0ED55C0F"/>
    <w:rsid w:val="0F9145C6"/>
    <w:rsid w:val="10331BD0"/>
    <w:rsid w:val="10334A52"/>
    <w:rsid w:val="11436D54"/>
    <w:rsid w:val="11441BDD"/>
    <w:rsid w:val="115B693C"/>
    <w:rsid w:val="11E81147"/>
    <w:rsid w:val="11FC011F"/>
    <w:rsid w:val="12503FC7"/>
    <w:rsid w:val="127D3F21"/>
    <w:rsid w:val="12850115"/>
    <w:rsid w:val="13144FF5"/>
    <w:rsid w:val="13A75E69"/>
    <w:rsid w:val="14D81F5A"/>
    <w:rsid w:val="14E629BA"/>
    <w:rsid w:val="14FB0C13"/>
    <w:rsid w:val="155B6311"/>
    <w:rsid w:val="15E13DBF"/>
    <w:rsid w:val="16504438"/>
    <w:rsid w:val="16847EF9"/>
    <w:rsid w:val="16943A91"/>
    <w:rsid w:val="169F638D"/>
    <w:rsid w:val="16A61152"/>
    <w:rsid w:val="16BC7E7D"/>
    <w:rsid w:val="17632963"/>
    <w:rsid w:val="176F3141"/>
    <w:rsid w:val="178E7A6B"/>
    <w:rsid w:val="17A27A86"/>
    <w:rsid w:val="17DE7C1A"/>
    <w:rsid w:val="18381785"/>
    <w:rsid w:val="19120228"/>
    <w:rsid w:val="19541F90"/>
    <w:rsid w:val="19671E8B"/>
    <w:rsid w:val="197E141A"/>
    <w:rsid w:val="1984477C"/>
    <w:rsid w:val="19A94433"/>
    <w:rsid w:val="19B1033A"/>
    <w:rsid w:val="1A2664F0"/>
    <w:rsid w:val="1A4B1C44"/>
    <w:rsid w:val="1A61696C"/>
    <w:rsid w:val="1A7E7BB3"/>
    <w:rsid w:val="1AE8410F"/>
    <w:rsid w:val="1AF00B1E"/>
    <w:rsid w:val="1B2A6A9A"/>
    <w:rsid w:val="1B2D2244"/>
    <w:rsid w:val="1B7529C4"/>
    <w:rsid w:val="1B841F7A"/>
    <w:rsid w:val="1C811553"/>
    <w:rsid w:val="1D880AB9"/>
    <w:rsid w:val="1E462B69"/>
    <w:rsid w:val="1E8E20FF"/>
    <w:rsid w:val="1F0C23AF"/>
    <w:rsid w:val="1F1015B0"/>
    <w:rsid w:val="1F2E4A05"/>
    <w:rsid w:val="1FDF6DDA"/>
    <w:rsid w:val="206231BA"/>
    <w:rsid w:val="209A7306"/>
    <w:rsid w:val="20BD26E7"/>
    <w:rsid w:val="2113059E"/>
    <w:rsid w:val="21305C0E"/>
    <w:rsid w:val="215C3A9B"/>
    <w:rsid w:val="21604349"/>
    <w:rsid w:val="2194565A"/>
    <w:rsid w:val="21A5009A"/>
    <w:rsid w:val="21C7632C"/>
    <w:rsid w:val="224041DB"/>
    <w:rsid w:val="22415C3E"/>
    <w:rsid w:val="22F62969"/>
    <w:rsid w:val="234A5C53"/>
    <w:rsid w:val="235F050E"/>
    <w:rsid w:val="23652F67"/>
    <w:rsid w:val="23EB7FF4"/>
    <w:rsid w:val="2426102C"/>
    <w:rsid w:val="24A02C63"/>
    <w:rsid w:val="24D42836"/>
    <w:rsid w:val="25551BC9"/>
    <w:rsid w:val="258D673E"/>
    <w:rsid w:val="25A501B3"/>
    <w:rsid w:val="25FE400E"/>
    <w:rsid w:val="260B04D9"/>
    <w:rsid w:val="263712CE"/>
    <w:rsid w:val="26B43257"/>
    <w:rsid w:val="2714105E"/>
    <w:rsid w:val="27182A42"/>
    <w:rsid w:val="276B54D3"/>
    <w:rsid w:val="27B96E8B"/>
    <w:rsid w:val="28516245"/>
    <w:rsid w:val="285E004F"/>
    <w:rsid w:val="286418C3"/>
    <w:rsid w:val="28BC1F5F"/>
    <w:rsid w:val="28DD6A03"/>
    <w:rsid w:val="28FD2068"/>
    <w:rsid w:val="291B4ED7"/>
    <w:rsid w:val="29693AA7"/>
    <w:rsid w:val="29B04A21"/>
    <w:rsid w:val="29B53229"/>
    <w:rsid w:val="2A5306A1"/>
    <w:rsid w:val="2A7D4D3C"/>
    <w:rsid w:val="2A9E46C2"/>
    <w:rsid w:val="2AE7294F"/>
    <w:rsid w:val="2AEA2D75"/>
    <w:rsid w:val="2B6B7EFF"/>
    <w:rsid w:val="2B8111D9"/>
    <w:rsid w:val="2B8559E6"/>
    <w:rsid w:val="2BCB7DAA"/>
    <w:rsid w:val="2BD603D4"/>
    <w:rsid w:val="2C0E2AD1"/>
    <w:rsid w:val="2C0E62EF"/>
    <w:rsid w:val="2C8014B7"/>
    <w:rsid w:val="2CD15702"/>
    <w:rsid w:val="2CE51C3C"/>
    <w:rsid w:val="2D8550C0"/>
    <w:rsid w:val="2DAE2C04"/>
    <w:rsid w:val="2DDE64D3"/>
    <w:rsid w:val="2E0C1AC4"/>
    <w:rsid w:val="2E6A4F85"/>
    <w:rsid w:val="2E8B5B94"/>
    <w:rsid w:val="2F5B1C2E"/>
    <w:rsid w:val="2F6057DD"/>
    <w:rsid w:val="301646C9"/>
    <w:rsid w:val="30185462"/>
    <w:rsid w:val="302A1014"/>
    <w:rsid w:val="30465A15"/>
    <w:rsid w:val="30601421"/>
    <w:rsid w:val="312740EC"/>
    <w:rsid w:val="315C608D"/>
    <w:rsid w:val="31836015"/>
    <w:rsid w:val="318367A7"/>
    <w:rsid w:val="31E8381B"/>
    <w:rsid w:val="31FF798A"/>
    <w:rsid w:val="32603DEE"/>
    <w:rsid w:val="32891103"/>
    <w:rsid w:val="33376F76"/>
    <w:rsid w:val="334B0336"/>
    <w:rsid w:val="33955886"/>
    <w:rsid w:val="33EB5C0B"/>
    <w:rsid w:val="33F24B5D"/>
    <w:rsid w:val="34000F51"/>
    <w:rsid w:val="34784F8C"/>
    <w:rsid w:val="34C53FA9"/>
    <w:rsid w:val="34C738B5"/>
    <w:rsid w:val="350B5E00"/>
    <w:rsid w:val="352B2C7E"/>
    <w:rsid w:val="36607168"/>
    <w:rsid w:val="36DD513A"/>
    <w:rsid w:val="370D3C64"/>
    <w:rsid w:val="3782691C"/>
    <w:rsid w:val="37892AB3"/>
    <w:rsid w:val="37C02DD3"/>
    <w:rsid w:val="37D7646D"/>
    <w:rsid w:val="37E00741"/>
    <w:rsid w:val="380B3A1A"/>
    <w:rsid w:val="38575800"/>
    <w:rsid w:val="38626FB3"/>
    <w:rsid w:val="38785A35"/>
    <w:rsid w:val="38D4388A"/>
    <w:rsid w:val="397F3F36"/>
    <w:rsid w:val="39A529A1"/>
    <w:rsid w:val="39BD11EE"/>
    <w:rsid w:val="39C54D6C"/>
    <w:rsid w:val="3B3616FD"/>
    <w:rsid w:val="3B632BCB"/>
    <w:rsid w:val="3B831D09"/>
    <w:rsid w:val="3C694414"/>
    <w:rsid w:val="3C6A5C5B"/>
    <w:rsid w:val="3CA93999"/>
    <w:rsid w:val="3CFB49AC"/>
    <w:rsid w:val="3D65276D"/>
    <w:rsid w:val="3DB12B50"/>
    <w:rsid w:val="3DFD1A92"/>
    <w:rsid w:val="3E2B4042"/>
    <w:rsid w:val="3E342BCE"/>
    <w:rsid w:val="3F312907"/>
    <w:rsid w:val="3F397A0D"/>
    <w:rsid w:val="3F916802"/>
    <w:rsid w:val="3F9966FE"/>
    <w:rsid w:val="3FF36623"/>
    <w:rsid w:val="3FF60844"/>
    <w:rsid w:val="40262DAF"/>
    <w:rsid w:val="40AA6EEC"/>
    <w:rsid w:val="40FB7670"/>
    <w:rsid w:val="40FF1BA6"/>
    <w:rsid w:val="41624818"/>
    <w:rsid w:val="41DA7286"/>
    <w:rsid w:val="41F30C9C"/>
    <w:rsid w:val="420460B1"/>
    <w:rsid w:val="426976B5"/>
    <w:rsid w:val="42C87355"/>
    <w:rsid w:val="430250AC"/>
    <w:rsid w:val="433B01F8"/>
    <w:rsid w:val="439E0787"/>
    <w:rsid w:val="43BF2BD7"/>
    <w:rsid w:val="441F2024"/>
    <w:rsid w:val="44496E46"/>
    <w:rsid w:val="44AF18F5"/>
    <w:rsid w:val="44F56185"/>
    <w:rsid w:val="454C36B6"/>
    <w:rsid w:val="454D4085"/>
    <w:rsid w:val="45795008"/>
    <w:rsid w:val="45F24C03"/>
    <w:rsid w:val="4636056B"/>
    <w:rsid w:val="464E0242"/>
    <w:rsid w:val="46681314"/>
    <w:rsid w:val="46825D85"/>
    <w:rsid w:val="468574A9"/>
    <w:rsid w:val="46AD1991"/>
    <w:rsid w:val="47003FB3"/>
    <w:rsid w:val="47A3011A"/>
    <w:rsid w:val="47AE7CDA"/>
    <w:rsid w:val="48210E80"/>
    <w:rsid w:val="484405B6"/>
    <w:rsid w:val="4860600B"/>
    <w:rsid w:val="48B40105"/>
    <w:rsid w:val="48F55AEB"/>
    <w:rsid w:val="494057CF"/>
    <w:rsid w:val="496D09DF"/>
    <w:rsid w:val="498E0956"/>
    <w:rsid w:val="49942DCC"/>
    <w:rsid w:val="49AE1936"/>
    <w:rsid w:val="4A123335"/>
    <w:rsid w:val="4A212A7E"/>
    <w:rsid w:val="4A3151FD"/>
    <w:rsid w:val="4A6022F2"/>
    <w:rsid w:val="4A7D4C52"/>
    <w:rsid w:val="4AD725DB"/>
    <w:rsid w:val="4B15399D"/>
    <w:rsid w:val="4B1D01E3"/>
    <w:rsid w:val="4B390CF8"/>
    <w:rsid w:val="4B3D44AC"/>
    <w:rsid w:val="4BAD67EC"/>
    <w:rsid w:val="4BBC16D9"/>
    <w:rsid w:val="4BE4410C"/>
    <w:rsid w:val="4C8543E0"/>
    <w:rsid w:val="4D0C5B66"/>
    <w:rsid w:val="4D1C13E2"/>
    <w:rsid w:val="4D812AEE"/>
    <w:rsid w:val="4D941E38"/>
    <w:rsid w:val="4DB52BE9"/>
    <w:rsid w:val="4DF4362F"/>
    <w:rsid w:val="4DF711BF"/>
    <w:rsid w:val="4E060628"/>
    <w:rsid w:val="4E616639"/>
    <w:rsid w:val="4E636587"/>
    <w:rsid w:val="4EA752F2"/>
    <w:rsid w:val="4EB359B9"/>
    <w:rsid w:val="4EC4195E"/>
    <w:rsid w:val="4EDA3604"/>
    <w:rsid w:val="4F375AD2"/>
    <w:rsid w:val="4F38629A"/>
    <w:rsid w:val="4FDC066D"/>
    <w:rsid w:val="4FF754A7"/>
    <w:rsid w:val="507B7E86"/>
    <w:rsid w:val="50CF3D2E"/>
    <w:rsid w:val="51257DF2"/>
    <w:rsid w:val="51382590"/>
    <w:rsid w:val="51413A25"/>
    <w:rsid w:val="51826FF2"/>
    <w:rsid w:val="51B8305D"/>
    <w:rsid w:val="520932E4"/>
    <w:rsid w:val="52195F79"/>
    <w:rsid w:val="524B3888"/>
    <w:rsid w:val="52561DA8"/>
    <w:rsid w:val="529C3096"/>
    <w:rsid w:val="52C06A01"/>
    <w:rsid w:val="53336043"/>
    <w:rsid w:val="53430A03"/>
    <w:rsid w:val="5348156D"/>
    <w:rsid w:val="534F55FA"/>
    <w:rsid w:val="535C1095"/>
    <w:rsid w:val="53C71634"/>
    <w:rsid w:val="544C6403"/>
    <w:rsid w:val="546E1278"/>
    <w:rsid w:val="54921C42"/>
    <w:rsid w:val="54F57592"/>
    <w:rsid w:val="5511700B"/>
    <w:rsid w:val="558E2409"/>
    <w:rsid w:val="559A7000"/>
    <w:rsid w:val="55C67340"/>
    <w:rsid w:val="561F6F5A"/>
    <w:rsid w:val="56372C41"/>
    <w:rsid w:val="570105E4"/>
    <w:rsid w:val="57421056"/>
    <w:rsid w:val="5752559F"/>
    <w:rsid w:val="5781726E"/>
    <w:rsid w:val="57D31058"/>
    <w:rsid w:val="58A261CC"/>
    <w:rsid w:val="58DC0194"/>
    <w:rsid w:val="58DC6806"/>
    <w:rsid w:val="591315E1"/>
    <w:rsid w:val="59A32185"/>
    <w:rsid w:val="59E545C2"/>
    <w:rsid w:val="5A1804F3"/>
    <w:rsid w:val="5AC50F31"/>
    <w:rsid w:val="5B254B8D"/>
    <w:rsid w:val="5B4E6197"/>
    <w:rsid w:val="5BB4749D"/>
    <w:rsid w:val="5BD64C6F"/>
    <w:rsid w:val="5C0F1DCA"/>
    <w:rsid w:val="5D932452"/>
    <w:rsid w:val="5E011535"/>
    <w:rsid w:val="5E154E38"/>
    <w:rsid w:val="5E9D5422"/>
    <w:rsid w:val="5ED24F05"/>
    <w:rsid w:val="5F724A9F"/>
    <w:rsid w:val="5FD75C28"/>
    <w:rsid w:val="5FE44C8F"/>
    <w:rsid w:val="603A555D"/>
    <w:rsid w:val="605E6E7C"/>
    <w:rsid w:val="607C3C86"/>
    <w:rsid w:val="60A30D33"/>
    <w:rsid w:val="61131A15"/>
    <w:rsid w:val="617C02F0"/>
    <w:rsid w:val="61C21D04"/>
    <w:rsid w:val="61C21E79"/>
    <w:rsid w:val="62015D11"/>
    <w:rsid w:val="621023F8"/>
    <w:rsid w:val="62161A12"/>
    <w:rsid w:val="628F54A8"/>
    <w:rsid w:val="62AC5EF5"/>
    <w:rsid w:val="633A772C"/>
    <w:rsid w:val="63DC345F"/>
    <w:rsid w:val="63E10CD2"/>
    <w:rsid w:val="63E776F7"/>
    <w:rsid w:val="645050CE"/>
    <w:rsid w:val="64B61035"/>
    <w:rsid w:val="64F84E2A"/>
    <w:rsid w:val="64FE54B3"/>
    <w:rsid w:val="65414D34"/>
    <w:rsid w:val="65C31F8C"/>
    <w:rsid w:val="65DA1B9B"/>
    <w:rsid w:val="661A472A"/>
    <w:rsid w:val="663A0CE1"/>
    <w:rsid w:val="66454F00"/>
    <w:rsid w:val="66846F11"/>
    <w:rsid w:val="668F3BC5"/>
    <w:rsid w:val="66A17AC3"/>
    <w:rsid w:val="66AB26EF"/>
    <w:rsid w:val="66D33AAB"/>
    <w:rsid w:val="6756308B"/>
    <w:rsid w:val="67710CD0"/>
    <w:rsid w:val="681376C3"/>
    <w:rsid w:val="68356C27"/>
    <w:rsid w:val="6870599E"/>
    <w:rsid w:val="688B4586"/>
    <w:rsid w:val="689F0032"/>
    <w:rsid w:val="68A53C1E"/>
    <w:rsid w:val="691722BE"/>
    <w:rsid w:val="6994440C"/>
    <w:rsid w:val="69995F31"/>
    <w:rsid w:val="699F3A3F"/>
    <w:rsid w:val="69F7703D"/>
    <w:rsid w:val="6A0A1C2C"/>
    <w:rsid w:val="6A5D139E"/>
    <w:rsid w:val="6A6E23B2"/>
    <w:rsid w:val="6AAD1F2F"/>
    <w:rsid w:val="6AE13D4C"/>
    <w:rsid w:val="6AE47749"/>
    <w:rsid w:val="6B340674"/>
    <w:rsid w:val="6B3D4F7E"/>
    <w:rsid w:val="6B6C6906"/>
    <w:rsid w:val="6B93041A"/>
    <w:rsid w:val="6B94211D"/>
    <w:rsid w:val="6BA07076"/>
    <w:rsid w:val="6BA77929"/>
    <w:rsid w:val="6BE455CE"/>
    <w:rsid w:val="6C354EC2"/>
    <w:rsid w:val="6C75260E"/>
    <w:rsid w:val="6CAB3449"/>
    <w:rsid w:val="6CE8644B"/>
    <w:rsid w:val="6D20306B"/>
    <w:rsid w:val="6D280E7F"/>
    <w:rsid w:val="6D321C23"/>
    <w:rsid w:val="6D737326"/>
    <w:rsid w:val="6E054DDB"/>
    <w:rsid w:val="6E1B14B5"/>
    <w:rsid w:val="6EBC693B"/>
    <w:rsid w:val="6EF300F7"/>
    <w:rsid w:val="6F3516F0"/>
    <w:rsid w:val="6F3C4D2E"/>
    <w:rsid w:val="6F623DF3"/>
    <w:rsid w:val="70304001"/>
    <w:rsid w:val="705E62C6"/>
    <w:rsid w:val="707158DE"/>
    <w:rsid w:val="70A47577"/>
    <w:rsid w:val="711C1B18"/>
    <w:rsid w:val="719B785F"/>
    <w:rsid w:val="71F413EE"/>
    <w:rsid w:val="72235BB5"/>
    <w:rsid w:val="72514749"/>
    <w:rsid w:val="725A561D"/>
    <w:rsid w:val="728F494A"/>
    <w:rsid w:val="72CD48A9"/>
    <w:rsid w:val="72DE2B1B"/>
    <w:rsid w:val="72F956A9"/>
    <w:rsid w:val="730353C6"/>
    <w:rsid w:val="73902681"/>
    <w:rsid w:val="73B47AF3"/>
    <w:rsid w:val="744C72C0"/>
    <w:rsid w:val="74783AEF"/>
    <w:rsid w:val="752913AF"/>
    <w:rsid w:val="758903A3"/>
    <w:rsid w:val="75986535"/>
    <w:rsid w:val="759E1D9D"/>
    <w:rsid w:val="761B50B5"/>
    <w:rsid w:val="76254E02"/>
    <w:rsid w:val="764778F5"/>
    <w:rsid w:val="769D2054"/>
    <w:rsid w:val="76C341DB"/>
    <w:rsid w:val="777A2396"/>
    <w:rsid w:val="777E7946"/>
    <w:rsid w:val="781B1BEB"/>
    <w:rsid w:val="78411105"/>
    <w:rsid w:val="789D2993"/>
    <w:rsid w:val="7AC44859"/>
    <w:rsid w:val="7B1C3157"/>
    <w:rsid w:val="7C025578"/>
    <w:rsid w:val="7C0520B7"/>
    <w:rsid w:val="7CB559C1"/>
    <w:rsid w:val="7DC95F40"/>
    <w:rsid w:val="7DCD0F4A"/>
    <w:rsid w:val="7DF91CE6"/>
    <w:rsid w:val="7DFA4230"/>
    <w:rsid w:val="7EF04FE2"/>
    <w:rsid w:val="7F231565"/>
    <w:rsid w:val="7F344C03"/>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44"/>
    <w:unhideWhenUsed/>
    <w:qFormat/>
    <w:uiPriority w:val="0"/>
    <w:pPr>
      <w:spacing w:after="120" w:line="240" w:lineRule="auto"/>
    </w:pPr>
    <w:rPr>
      <w:rFonts w:asciiTheme="minorHAnsi" w:hAnsiTheme="minorHAnsi" w:eastAsiaTheme="minorEastAsia" w:cstheme="minorBidi"/>
    </w:rPr>
  </w:style>
  <w:style w:type="paragraph" w:styleId="7">
    <w:name w:val="Body Text Indent"/>
    <w:basedOn w:val="1"/>
    <w:next w:val="8"/>
    <w:qFormat/>
    <w:uiPriority w:val="0"/>
    <w:pPr>
      <w:ind w:firstLine="645"/>
    </w:pPr>
    <w:rPr>
      <w:rFonts w:ascii="楷体_GB2312" w:eastAsia="楷体_GB2312"/>
      <w:sz w:val="32"/>
    </w:rPr>
  </w:style>
  <w:style w:type="paragraph" w:styleId="8">
    <w:name w:val="envelope return"/>
    <w:basedOn w:val="1"/>
    <w:unhideWhenUsed/>
    <w:qFormat/>
    <w:uiPriority w:val="99"/>
    <w:pPr>
      <w:snapToGrid w:val="0"/>
    </w:pPr>
    <w:rPr>
      <w:rFonts w:ascii="Arial" w:hAnsi="Arial"/>
    </w:rPr>
  </w:style>
  <w:style w:type="paragraph" w:styleId="9">
    <w:name w:val="Plain Text"/>
    <w:basedOn w:val="1"/>
    <w:unhideWhenUsed/>
    <w:qFormat/>
    <w:uiPriority w:val="99"/>
    <w:rPr>
      <w:rFonts w:ascii="宋体" w:hAnsi="Courier New" w:cs="Courier New"/>
      <w:szCs w:val="21"/>
    </w:rPr>
  </w:style>
  <w:style w:type="paragraph" w:styleId="10">
    <w:name w:val="toc 8"/>
    <w:basedOn w:val="1"/>
    <w:next w:val="1"/>
    <w:unhideWhenUsed/>
    <w:qFormat/>
    <w:uiPriority w:val="39"/>
    <w:pPr>
      <w:ind w:left="1470"/>
      <w:jc w:val="left"/>
    </w:pPr>
    <w:rPr>
      <w:rFonts w:ascii="Calibri" w:hAnsi="Calibri" w:cs="Calibri"/>
      <w:sz w:val="18"/>
      <w:szCs w:val="18"/>
    </w:rPr>
  </w:style>
  <w:style w:type="paragraph" w:styleId="11">
    <w:name w:val="Date"/>
    <w:basedOn w:val="1"/>
    <w:next w:val="1"/>
    <w:qFormat/>
    <w:uiPriority w:val="0"/>
    <w:rPr>
      <w:rFonts w:asciiTheme="minorHAnsi" w:hAnsiTheme="minorHAnsi" w:eastAsiaTheme="minorEastAsia" w:cstheme="minorBidi"/>
      <w:sz w:val="24"/>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rPr>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6"/>
    <w:link w:val="4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paragraph" w:styleId="17">
    <w:name w:val="Body Text First Indent 2"/>
    <w:basedOn w:val="7"/>
    <w:qFormat/>
    <w:uiPriority w:val="0"/>
    <w:pPr>
      <w:widowControl/>
      <w:ind w:firstLine="420" w:firstLineChars="200"/>
      <w:jc w:val="left"/>
    </w:pPr>
    <w:rPr>
      <w:rFonts w:ascii="Times New Roman" w:hAnsi="Times New Roman" w:eastAsia="宋?"/>
      <w:kern w:val="0"/>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hint="default"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qFormat/>
    <w:uiPriority w:val="0"/>
    <w:rPr>
      <w:color w:val="0000FF"/>
      <w:u w:val="none"/>
    </w:rPr>
  </w:style>
  <w:style w:type="character" w:styleId="28">
    <w:name w:val="HTML Code"/>
    <w:basedOn w:val="20"/>
    <w:qFormat/>
    <w:uiPriority w:val="0"/>
    <w:rPr>
      <w:rFonts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目录 71"/>
    <w:basedOn w:val="1"/>
    <w:next w:val="1"/>
    <w:qFormat/>
    <w:uiPriority w:val="0"/>
    <w:pPr>
      <w:ind w:left="2520"/>
    </w:pPr>
    <w:rPr>
      <w:rFonts w:ascii="Calibri"/>
    </w:rPr>
  </w:style>
  <w:style w:type="paragraph" w:customStyle="1" w:styleId="33">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34">
    <w:name w:val="首行缩进"/>
    <w:basedOn w:val="1"/>
    <w:qFormat/>
    <w:uiPriority w:val="0"/>
    <w:pPr>
      <w:ind w:firstLine="480" w:firstLineChars="200"/>
    </w:pPr>
    <w:rPr>
      <w:lang w:val="zh-CN"/>
    </w:rPr>
  </w:style>
  <w:style w:type="character" w:customStyle="1" w:styleId="35">
    <w:name w:val="NormalCharacter"/>
    <w:semiHidden/>
    <w:qFormat/>
    <w:uiPriority w:val="0"/>
  </w:style>
  <w:style w:type="paragraph" w:customStyle="1" w:styleId="36">
    <w:name w:val="Table Paragraph"/>
    <w:basedOn w:val="1"/>
    <w:qFormat/>
    <w:uiPriority w:val="1"/>
    <w:rPr>
      <w:rFonts w:ascii="宋体" w:hAnsi="宋体" w:eastAsia="宋体" w:cs="宋体"/>
      <w:lang w:val="zh-CN" w:eastAsia="zh-CN" w:bidi="zh-CN"/>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styleId="39">
    <w:name w:val="List Paragraph"/>
    <w:basedOn w:val="1"/>
    <w:qFormat/>
    <w:uiPriority w:val="34"/>
    <w:pPr>
      <w:ind w:firstLine="420" w:firstLineChars="200"/>
    </w:pPr>
  </w:style>
  <w:style w:type="paragraph" w:customStyle="1" w:styleId="40">
    <w:name w:val="正文文本缩进 2 Char Char"/>
    <w:basedOn w:val="1"/>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41">
    <w:name w:val="font31"/>
    <w:basedOn w:val="20"/>
    <w:qFormat/>
    <w:uiPriority w:val="0"/>
    <w:rPr>
      <w:rFonts w:hint="eastAsia" w:ascii="微软雅黑" w:hAnsi="微软雅黑" w:eastAsia="微软雅黑" w:cs="微软雅黑"/>
      <w:b/>
      <w:bCs/>
      <w:color w:val="000000"/>
      <w:sz w:val="24"/>
      <w:szCs w:val="24"/>
      <w:u w:val="none"/>
    </w:rPr>
  </w:style>
  <w:style w:type="character" w:customStyle="1" w:styleId="42">
    <w:name w:val="font91"/>
    <w:basedOn w:val="20"/>
    <w:qFormat/>
    <w:uiPriority w:val="0"/>
    <w:rPr>
      <w:rFonts w:hint="eastAsia" w:ascii="微软雅黑" w:hAnsi="微软雅黑" w:eastAsia="微软雅黑" w:cs="微软雅黑"/>
      <w:color w:val="000000"/>
      <w:sz w:val="24"/>
      <w:szCs w:val="24"/>
      <w:u w:val="none"/>
    </w:rPr>
  </w:style>
  <w:style w:type="character" w:customStyle="1" w:styleId="43">
    <w:name w:val="正文首行缩进 Char"/>
    <w:basedOn w:val="44"/>
    <w:link w:val="16"/>
    <w:qFormat/>
    <w:uiPriority w:val="0"/>
    <w:rPr>
      <w:rFonts w:hint="default" w:ascii="Times New Roman" w:hAnsi="Times New Roman" w:cs="Times New Roman"/>
      <w:kern w:val="2"/>
      <w:sz w:val="24"/>
      <w:szCs w:val="24"/>
    </w:rPr>
  </w:style>
  <w:style w:type="character" w:customStyle="1" w:styleId="44">
    <w:name w:val="正文文本 Char"/>
    <w:basedOn w:val="20"/>
    <w:link w:val="6"/>
    <w:qFormat/>
    <w:uiPriority w:val="0"/>
    <w:rPr>
      <w:kern w:val="2"/>
      <w:sz w:val="21"/>
      <w:szCs w:val="22"/>
    </w:rPr>
  </w:style>
  <w:style w:type="character" w:customStyle="1" w:styleId="45">
    <w:name w:val="标题 3 Char"/>
    <w:basedOn w:val="20"/>
    <w:link w:val="4"/>
    <w:qFormat/>
    <w:uiPriority w:val="0"/>
    <w:rPr>
      <w:rFonts w:hint="eastAsia" w:ascii="宋体" w:hAnsi="宋体" w:eastAsia="宋体" w:cs="宋体"/>
      <w:b/>
      <w:kern w:val="2"/>
      <w:sz w:val="21"/>
      <w:shd w:val="clear" w:fill="FFFFFF"/>
    </w:rPr>
  </w:style>
  <w:style w:type="paragraph" w:customStyle="1" w:styleId="46">
    <w:name w:val="表格文字"/>
    <w:basedOn w:val="1"/>
    <w:autoRedefine/>
    <w:qFormat/>
    <w:uiPriority w:val="0"/>
    <w:pPr>
      <w:autoSpaceDE w:val="0"/>
      <w:autoSpaceDN w:val="0"/>
      <w:adjustRightInd w:val="0"/>
      <w:spacing w:line="420" w:lineRule="atLeast"/>
      <w:ind w:firstLine="1256" w:firstLineChars="200"/>
      <w:jc w:val="left"/>
      <w:textAlignment w:val="baseline"/>
    </w:pPr>
    <w:rPr>
      <w:rFonts w:hint="eastAsia" w:ascii="Times New Roman" w:hAnsi="Times New Roman"/>
      <w:kern w:val="0"/>
      <w:sz w:val="24"/>
    </w:r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_Style 13"/>
    <w:qFormat/>
    <w:uiPriority w:val="0"/>
    <w:pPr>
      <w:spacing w:before="120" w:after="120" w:line="288" w:lineRule="auto"/>
      <w:ind w:left="0"/>
      <w:jc w:val="left"/>
    </w:pPr>
    <w:rPr>
      <w:rFonts w:ascii="Arial" w:hAnsi="Arial" w:eastAsia="等线" w:cs="Arial"/>
      <w:sz w:val="22"/>
      <w:szCs w:val="22"/>
    </w:rPr>
  </w:style>
  <w:style w:type="character" w:customStyle="1" w:styleId="49">
    <w:name w:val="layui-layer-tabnow"/>
    <w:basedOn w:val="20"/>
    <w:qFormat/>
    <w:uiPriority w:val="0"/>
    <w:rPr>
      <w:bdr w:val="single" w:color="CCCCCC" w:sz="6" w:space="0"/>
      <w:shd w:val="clear" w:fill="FFFFFF"/>
    </w:rPr>
  </w:style>
  <w:style w:type="character" w:customStyle="1" w:styleId="50">
    <w:name w:val="first-child"/>
    <w:basedOn w:val="2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1576</Words>
  <Characters>1658</Characters>
  <Lines>0</Lines>
  <Paragraphs>0</Paragraphs>
  <TotalTime>3</TotalTime>
  <ScaleCrop>false</ScaleCrop>
  <LinksUpToDate>false</LinksUpToDate>
  <CharactersWithSpaces>1689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123</cp:lastModifiedBy>
  <cp:lastPrinted>2024-10-08T08:21:00Z</cp:lastPrinted>
  <dcterms:modified xsi:type="dcterms:W3CDTF">2025-10-09T06:44:49Z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68305D28D4E5414B95BE7DB6A6C0FB98_13</vt:lpwstr>
  </property>
  <property fmtid="{D5CDD505-2E9C-101B-9397-08002B2CF9AE}" pid="4" name="KSOTemplateDocerSaveRecord">
    <vt:lpwstr>eyJoZGlkIjoiMWU0MTkwODg4ODQwM2YxYTVlYTM5MTZhOTIzNTI1Y2QiLCJ1c2VySWQiOiIxNDY2MDgwODYxIn0=</vt:lpwstr>
  </property>
</Properties>
</file>