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4FE14">
      <w:pPr>
        <w:ind w:firstLine="803" w:firstLineChars="200"/>
        <w:jc w:val="center"/>
        <w:rPr>
          <w:rFonts w:hint="default" w:ascii="宋体" w:hAnsi="宋体" w:eastAsia="宋体" w:cs="宋体"/>
          <w:b/>
          <w:bCs/>
          <w:color w:val="auto"/>
          <w:sz w:val="40"/>
          <w:szCs w:val="40"/>
          <w:highlight w:val="none"/>
          <w:lang w:val="en-US" w:eastAsia="zh-CN"/>
        </w:rPr>
      </w:pPr>
      <w:bookmarkStart w:id="1" w:name="_GoBack"/>
      <w:bookmarkEnd w:id="1"/>
      <w:r>
        <w:rPr>
          <w:rFonts w:hint="eastAsia" w:ascii="宋体" w:hAnsi="宋体" w:eastAsia="宋体" w:cs="宋体"/>
          <w:b/>
          <w:bCs/>
          <w:color w:val="auto"/>
          <w:sz w:val="40"/>
          <w:szCs w:val="40"/>
          <w:highlight w:val="none"/>
          <w:lang w:val="en-US" w:eastAsia="zh-CN"/>
        </w:rPr>
        <w:t>安庆桐城化工园区(稳定同位素产业园)-污水处理厂、事故应急池项目和安庆桐城化工园区(稳定同位素产业园)一北四路(龙池北路-东一路)建设工程及配套专用管廊项目跟踪审计服务</w:t>
      </w:r>
    </w:p>
    <w:p w14:paraId="76D246DA">
      <w:pPr>
        <w:pStyle w:val="17"/>
        <w:jc w:val="both"/>
        <w:rPr>
          <w:rFonts w:hint="eastAsia" w:ascii="仿宋" w:hAnsi="仿宋" w:eastAsia="仿宋" w:cs="仿宋"/>
          <w:b/>
          <w:bCs/>
          <w:color w:val="auto"/>
          <w:sz w:val="36"/>
          <w:szCs w:val="36"/>
          <w:highlight w:val="none"/>
          <w:lang w:val="en-US" w:eastAsia="zh-CN"/>
        </w:rPr>
      </w:pPr>
    </w:p>
    <w:p w14:paraId="27063272">
      <w:pPr>
        <w:pStyle w:val="17"/>
        <w:jc w:val="both"/>
        <w:rPr>
          <w:rFonts w:hint="eastAsia" w:ascii="仿宋" w:hAnsi="仿宋" w:eastAsia="仿宋" w:cs="仿宋"/>
          <w:b/>
          <w:bCs/>
          <w:color w:val="auto"/>
          <w:sz w:val="36"/>
          <w:szCs w:val="36"/>
          <w:highlight w:val="none"/>
          <w:lang w:val="en-US" w:eastAsia="zh-CN"/>
        </w:rPr>
      </w:pPr>
    </w:p>
    <w:p w14:paraId="314C9848">
      <w:pPr>
        <w:pStyle w:val="9"/>
        <w:adjustRightInd w:val="0"/>
        <w:snapToGrid w:val="0"/>
        <w:spacing w:line="360" w:lineRule="auto"/>
        <w:jc w:val="center"/>
        <w:rPr>
          <w:rFonts w:hint="eastAsia" w:ascii="宋体" w:hAnsi="宋体" w:cs="Arial"/>
          <w:b/>
          <w:color w:val="auto"/>
          <w:sz w:val="72"/>
          <w:szCs w:val="72"/>
          <w:highlight w:val="none"/>
          <w:lang w:val="en-US" w:eastAsia="zh-CN"/>
        </w:rPr>
      </w:pPr>
    </w:p>
    <w:p w14:paraId="0AFF4716">
      <w:pPr>
        <w:pStyle w:val="9"/>
        <w:adjustRightInd w:val="0"/>
        <w:snapToGrid w:val="0"/>
        <w:spacing w:line="360" w:lineRule="auto"/>
        <w:jc w:val="center"/>
        <w:rPr>
          <w:rFonts w:hint="eastAsia" w:ascii="宋体" w:hAnsi="宋体" w:cs="Arial"/>
          <w:b/>
          <w:color w:val="auto"/>
          <w:sz w:val="72"/>
          <w:szCs w:val="72"/>
          <w:highlight w:val="none"/>
          <w:lang w:val="en-US" w:eastAsia="zh-CN"/>
        </w:rPr>
      </w:pPr>
      <w:r>
        <w:rPr>
          <w:rFonts w:hint="eastAsia" w:ascii="宋体" w:hAnsi="宋体" w:cs="Arial"/>
          <w:b/>
          <w:color w:val="auto"/>
          <w:sz w:val="72"/>
          <w:szCs w:val="72"/>
          <w:highlight w:val="none"/>
          <w:lang w:val="en-US" w:eastAsia="zh-CN"/>
        </w:rPr>
        <w:t>比 选 文 件</w:t>
      </w:r>
    </w:p>
    <w:p w14:paraId="3EAE5587">
      <w:pPr>
        <w:jc w:val="center"/>
        <w:rPr>
          <w:rFonts w:hint="eastAsia" w:ascii="仿宋" w:hAnsi="仿宋" w:eastAsia="仿宋" w:cs="仿宋"/>
          <w:b/>
          <w:bCs/>
          <w:color w:val="auto"/>
          <w:sz w:val="36"/>
          <w:szCs w:val="36"/>
          <w:highlight w:val="none"/>
          <w:lang w:val="en-US" w:eastAsia="zh-CN"/>
        </w:rPr>
      </w:pPr>
    </w:p>
    <w:p w14:paraId="3632F451">
      <w:pPr>
        <w:pStyle w:val="6"/>
        <w:rPr>
          <w:rFonts w:hint="eastAsia" w:ascii="仿宋" w:hAnsi="仿宋" w:eastAsia="仿宋" w:cs="仿宋"/>
          <w:color w:val="auto"/>
          <w:sz w:val="28"/>
          <w:szCs w:val="28"/>
          <w:highlight w:val="none"/>
          <w:lang w:val="en-US" w:eastAsia="zh-CN"/>
        </w:rPr>
      </w:pPr>
    </w:p>
    <w:p w14:paraId="6F9E7F5A">
      <w:pPr>
        <w:pStyle w:val="23"/>
        <w:ind w:left="0" w:leftChars="0" w:firstLine="0" w:firstLineChars="0"/>
        <w:rPr>
          <w:rFonts w:hint="eastAsia" w:ascii="仿宋" w:hAnsi="仿宋" w:eastAsia="仿宋" w:cs="仿宋"/>
          <w:color w:val="auto"/>
          <w:sz w:val="28"/>
          <w:szCs w:val="28"/>
          <w:highlight w:val="none"/>
          <w:lang w:val="en-US" w:eastAsia="zh-CN"/>
        </w:rPr>
      </w:pPr>
    </w:p>
    <w:p w14:paraId="302C91E0">
      <w:pPr>
        <w:widowControl/>
        <w:spacing w:line="312" w:lineRule="auto"/>
        <w:ind w:firstLine="637" w:firstLineChars="177"/>
        <w:textAlignment w:val="center"/>
        <w:rPr>
          <w:rFonts w:hint="eastAsia" w:ascii="仿宋_GB2312" w:hAnsi="仿宋_GB2312" w:eastAsia="仿宋_GB2312" w:cs="仿宋_GB2312"/>
          <w:color w:val="auto"/>
          <w:sz w:val="36"/>
          <w:szCs w:val="44"/>
          <w:highlight w:val="none"/>
          <w:u w:val="none"/>
          <w:lang w:val="en-US" w:eastAsia="zh-CN"/>
        </w:rPr>
      </w:pPr>
    </w:p>
    <w:p w14:paraId="6DBB273D">
      <w:pPr>
        <w:keepNext w:val="0"/>
        <w:keepLines w:val="0"/>
        <w:pageBreakBefore w:val="0"/>
        <w:widowControl/>
        <w:kinsoku/>
        <w:wordWrap/>
        <w:overflowPunct/>
        <w:topLinePunct w:val="0"/>
        <w:autoSpaceDE/>
        <w:autoSpaceDN/>
        <w:bidi w:val="0"/>
        <w:adjustRightInd/>
        <w:snapToGrid/>
        <w:spacing w:line="700" w:lineRule="exact"/>
        <w:ind w:firstLine="637" w:firstLineChars="177"/>
        <w:textAlignment w:val="center"/>
        <w:rPr>
          <w:rFonts w:hint="eastAsia" w:ascii="仿宋_GB2312" w:hAnsi="仿宋_GB2312" w:eastAsia="仿宋_GB2312" w:cs="仿宋_GB2312"/>
          <w:color w:val="auto"/>
          <w:sz w:val="36"/>
          <w:szCs w:val="44"/>
          <w:highlight w:val="none"/>
          <w:u w:val="single"/>
          <w:lang w:val="en-US" w:eastAsia="zh-CN"/>
        </w:rPr>
      </w:pPr>
      <w:r>
        <w:rPr>
          <w:rFonts w:hint="eastAsia" w:ascii="仿宋_GB2312" w:hAnsi="仿宋_GB2312" w:eastAsia="仿宋_GB2312" w:cs="仿宋_GB2312"/>
          <w:color w:val="auto"/>
          <w:sz w:val="36"/>
          <w:szCs w:val="44"/>
          <w:highlight w:val="none"/>
          <w:u w:val="none"/>
          <w:lang w:val="en-US" w:eastAsia="zh-CN"/>
        </w:rPr>
        <w:t>比 选 人：</w:t>
      </w:r>
      <w:r>
        <w:rPr>
          <w:rFonts w:hint="eastAsia" w:ascii="仿宋_GB2312" w:hAnsi="仿宋_GB2312" w:eastAsia="仿宋_GB2312" w:cs="仿宋_GB2312"/>
          <w:color w:val="auto"/>
          <w:sz w:val="36"/>
          <w:szCs w:val="44"/>
          <w:highlight w:val="none"/>
          <w:u w:val="single"/>
          <w:lang w:val="en-US" w:eastAsia="zh-CN"/>
        </w:rPr>
        <w:t>桐城市新兴产业建设发展有限公司</w:t>
      </w:r>
    </w:p>
    <w:p w14:paraId="6A0B24B1">
      <w:pPr>
        <w:pStyle w:val="17"/>
        <w:keepNext w:val="0"/>
        <w:keepLines w:val="0"/>
        <w:pageBreakBefore w:val="0"/>
        <w:kinsoku/>
        <w:wordWrap/>
        <w:overflowPunct/>
        <w:topLinePunct w:val="0"/>
        <w:autoSpaceDE/>
        <w:autoSpaceDN/>
        <w:bidi w:val="0"/>
        <w:adjustRightInd/>
        <w:snapToGrid/>
        <w:spacing w:line="700" w:lineRule="exact"/>
        <w:rPr>
          <w:rFonts w:hint="eastAsia" w:ascii="仿宋" w:hAnsi="仿宋" w:eastAsia="仿宋" w:cs="仿宋"/>
          <w:color w:val="auto"/>
          <w:sz w:val="32"/>
          <w:szCs w:val="32"/>
          <w:highlight w:val="none"/>
          <w:lang w:val="en-US" w:eastAsia="zh-CN"/>
        </w:rPr>
      </w:pPr>
    </w:p>
    <w:p w14:paraId="5BA975A8">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left="0" w:leftChars="0" w:firstLine="637" w:firstLineChars="177"/>
        <w:jc w:val="both"/>
        <w:textAlignment w:val="center"/>
        <w:rPr>
          <w:rFonts w:hint="eastAsia" w:ascii="仿宋" w:hAnsi="仿宋" w:eastAsia="仿宋" w:cs="仿宋"/>
          <w:b w:val="0"/>
          <w:bCs w:val="0"/>
          <w:color w:val="auto"/>
          <w:kern w:val="2"/>
          <w:sz w:val="32"/>
          <w:szCs w:val="32"/>
          <w:highlight w:val="none"/>
          <w:lang w:val="en-US" w:eastAsia="zh-CN" w:bidi="ar-SA"/>
        </w:rPr>
      </w:pPr>
      <w:r>
        <w:rPr>
          <w:rFonts w:hint="eastAsia" w:ascii="仿宋_GB2312" w:hAnsi="仿宋_GB2312" w:eastAsia="仿宋_GB2312" w:cs="仿宋_GB2312"/>
          <w:color w:val="auto"/>
          <w:sz w:val="36"/>
          <w:szCs w:val="44"/>
          <w:highlight w:val="none"/>
          <w:u w:val="none"/>
          <w:lang w:val="en-US" w:eastAsia="zh-CN"/>
        </w:rPr>
        <w:t>代理机构：</w:t>
      </w:r>
      <w:r>
        <w:rPr>
          <w:rFonts w:hint="eastAsia" w:ascii="仿宋_GB2312" w:hAnsi="仿宋_GB2312" w:eastAsia="仿宋_GB2312" w:cs="仿宋_GB2312"/>
          <w:color w:val="auto"/>
          <w:sz w:val="36"/>
          <w:szCs w:val="44"/>
          <w:highlight w:val="none"/>
          <w:u w:val="single"/>
          <w:lang w:val="en-US" w:eastAsia="zh-CN"/>
        </w:rPr>
        <w:t>安庆宇屹工程咨询有限公司</w:t>
      </w:r>
    </w:p>
    <w:p w14:paraId="5EEAA15F">
      <w:pPr>
        <w:pStyle w:val="6"/>
        <w:keepNext w:val="0"/>
        <w:keepLines w:val="0"/>
        <w:pageBreakBefore w:val="0"/>
        <w:kinsoku/>
        <w:wordWrap/>
        <w:overflowPunct/>
        <w:topLinePunct w:val="0"/>
        <w:autoSpaceDE/>
        <w:autoSpaceDN/>
        <w:bidi w:val="0"/>
        <w:adjustRightInd/>
        <w:snapToGrid/>
        <w:spacing w:line="700" w:lineRule="exact"/>
        <w:rPr>
          <w:rFonts w:hint="eastAsia" w:ascii="仿宋" w:hAnsi="仿宋" w:eastAsia="仿宋" w:cs="仿宋"/>
          <w:color w:val="auto"/>
          <w:sz w:val="32"/>
          <w:szCs w:val="32"/>
          <w:highlight w:val="none"/>
          <w:lang w:val="en-US" w:eastAsia="zh-CN"/>
        </w:rPr>
      </w:pPr>
    </w:p>
    <w:p w14:paraId="441DF566">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left="0" w:leftChars="0" w:firstLine="637" w:firstLineChars="177"/>
        <w:jc w:val="center"/>
        <w:textAlignment w:val="center"/>
        <w:rPr>
          <w:rFonts w:hint="eastAsia" w:ascii="仿宋_GB2312" w:hAnsi="仿宋_GB2312" w:eastAsia="仿宋_GB2312" w:cs="仿宋_GB2312"/>
          <w:color w:val="auto"/>
          <w:sz w:val="36"/>
          <w:szCs w:val="44"/>
          <w:highlight w:val="none"/>
          <w:u w:val="none"/>
          <w:lang w:val="en-US" w:eastAsia="zh-CN"/>
        </w:rPr>
      </w:pPr>
      <w:r>
        <w:rPr>
          <w:rFonts w:hint="eastAsia" w:ascii="仿宋_GB2312" w:hAnsi="仿宋_GB2312" w:eastAsia="仿宋_GB2312" w:cs="仿宋_GB2312"/>
          <w:color w:val="auto"/>
          <w:sz w:val="36"/>
          <w:szCs w:val="44"/>
          <w:highlight w:val="none"/>
          <w:u w:val="none"/>
          <w:lang w:val="en-US" w:eastAsia="zh-CN"/>
        </w:rPr>
        <w:t>二零二五年九月</w:t>
      </w:r>
    </w:p>
    <w:p w14:paraId="07AA9B39">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br w:type="page"/>
      </w:r>
    </w:p>
    <w:p w14:paraId="0960B59C">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安庆桐城化工园区(稳定同位素产业园)-污水处理厂、事故应急池项目和安庆桐城化工园区(稳定同位素产业园)一北四路(龙池北路-东一路)建设工程及配套专用管廊项目跟踪审计服务比选公告</w:t>
      </w:r>
    </w:p>
    <w:p w14:paraId="1E59A579">
      <w:pPr>
        <w:jc w:val="center"/>
        <w:rPr>
          <w:rFonts w:hint="eastAsia" w:ascii="宋体" w:hAnsi="宋体" w:eastAsia="宋体" w:cs="宋体"/>
          <w:b/>
          <w:color w:val="auto"/>
          <w:sz w:val="21"/>
          <w:szCs w:val="21"/>
          <w:highlight w:val="none"/>
          <w:lang w:val="en-US" w:eastAsia="zh-CN"/>
        </w:rPr>
      </w:pPr>
    </w:p>
    <w:p w14:paraId="28087A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安庆宇屹工程咨询有限公司</w:t>
      </w:r>
      <w:r>
        <w:rPr>
          <w:rFonts w:hint="eastAsia" w:ascii="仿宋_GB2312" w:hAnsi="仿宋_GB2312" w:eastAsia="仿宋_GB2312" w:cs="仿宋_GB2312"/>
          <w:color w:val="auto"/>
          <w:sz w:val="28"/>
          <w:szCs w:val="28"/>
          <w:highlight w:val="none"/>
        </w:rPr>
        <w:t>受</w:t>
      </w:r>
      <w:r>
        <w:rPr>
          <w:rFonts w:hint="eastAsia" w:ascii="仿宋_GB2312" w:hAnsi="仿宋_GB2312" w:eastAsia="仿宋_GB2312" w:cs="仿宋_GB2312"/>
          <w:color w:val="auto"/>
          <w:sz w:val="28"/>
          <w:szCs w:val="28"/>
          <w:highlight w:val="none"/>
          <w:lang w:val="en-US" w:eastAsia="zh-CN"/>
        </w:rPr>
        <w:t>桐城市新兴产业建设发展有限公司</w:t>
      </w:r>
      <w:r>
        <w:rPr>
          <w:rFonts w:hint="eastAsia" w:ascii="仿宋_GB2312" w:hAnsi="仿宋_GB2312" w:eastAsia="仿宋_GB2312" w:cs="仿宋_GB2312"/>
          <w:color w:val="auto"/>
          <w:sz w:val="28"/>
          <w:szCs w:val="28"/>
          <w:highlight w:val="none"/>
        </w:rPr>
        <w:t>委托，现对</w:t>
      </w:r>
      <w:r>
        <w:rPr>
          <w:rFonts w:hint="eastAsia" w:ascii="仿宋_GB2312" w:hAnsi="仿宋_GB2312" w:eastAsia="仿宋_GB2312" w:cs="仿宋_GB2312"/>
          <w:color w:val="auto"/>
          <w:sz w:val="28"/>
          <w:szCs w:val="28"/>
          <w:highlight w:val="none"/>
          <w:u w:val="single"/>
          <w:lang w:val="en-US" w:eastAsia="zh-CN"/>
        </w:rPr>
        <w:t xml:space="preserve"> 安庆桐城化工园区(稳定同位素产业园)-污水处理厂、事故应急池项目和安庆桐城化工园区(稳定同位素产业园)一北四路(龙池北路-东一路)建设工程及配套专用管廊项目跟踪审计服务</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u w:val="none"/>
          <w:lang w:val="en-US" w:eastAsia="zh-CN"/>
        </w:rPr>
        <w:t>比选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欢迎具备条件的</w:t>
      </w:r>
      <w:r>
        <w:rPr>
          <w:rFonts w:hint="eastAsia" w:ascii="仿宋_GB2312" w:hAnsi="仿宋_GB2312" w:eastAsia="仿宋_GB2312" w:cs="仿宋_GB2312"/>
          <w:color w:val="auto"/>
          <w:sz w:val="28"/>
          <w:szCs w:val="28"/>
          <w:highlight w:val="none"/>
          <w:lang w:val="en-US" w:eastAsia="zh-CN"/>
        </w:rPr>
        <w:t>投标单位</w:t>
      </w:r>
      <w:r>
        <w:rPr>
          <w:rFonts w:hint="eastAsia" w:ascii="仿宋_GB2312" w:hAnsi="仿宋_GB2312" w:eastAsia="仿宋_GB2312" w:cs="仿宋_GB2312"/>
          <w:color w:val="auto"/>
          <w:sz w:val="28"/>
          <w:szCs w:val="28"/>
          <w:highlight w:val="none"/>
        </w:rPr>
        <w:t>报名参与。</w:t>
      </w:r>
    </w:p>
    <w:p w14:paraId="7FBA4C2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项目概况</w:t>
      </w:r>
    </w:p>
    <w:p w14:paraId="5C5D1B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val="en-US" w:eastAsia="zh-CN"/>
        </w:rPr>
        <w:t>安庆桐城化工园区(稳定同位素产业园)-污水处理厂、事故应急池项目和安庆桐城化工园区(稳定同位素产业园)一北四路(龙池北路-东一路)建设工程及配套专用管廊项目跟踪审计服务</w:t>
      </w:r>
    </w:p>
    <w:p w14:paraId="5FA110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.项目地点：桐城</w:t>
      </w:r>
      <w:r>
        <w:rPr>
          <w:rFonts w:hint="eastAsia" w:ascii="仿宋_GB2312" w:hAnsi="仿宋_GB2312" w:eastAsia="仿宋_GB2312" w:cs="仿宋_GB2312"/>
          <w:color w:val="auto"/>
          <w:sz w:val="28"/>
          <w:szCs w:val="28"/>
          <w:highlight w:val="none"/>
          <w:lang w:eastAsia="zh-CN"/>
        </w:rPr>
        <w:t>市</w:t>
      </w:r>
    </w:p>
    <w:p w14:paraId="511E6C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.项目单位：</w:t>
      </w:r>
      <w:r>
        <w:rPr>
          <w:rFonts w:hint="eastAsia" w:ascii="仿宋_GB2312" w:hAnsi="仿宋_GB2312" w:eastAsia="仿宋_GB2312" w:cs="仿宋_GB2312"/>
          <w:color w:val="auto"/>
          <w:sz w:val="28"/>
          <w:szCs w:val="28"/>
          <w:highlight w:val="none"/>
          <w:lang w:val="en-US" w:eastAsia="zh-CN"/>
        </w:rPr>
        <w:t>桐城市新兴产业建设发展有限公司</w:t>
      </w:r>
    </w:p>
    <w:p w14:paraId="73392C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.项目概况：安庆桐城化工园区(稳定同位素产业园)-污水处理厂、事故应急池项目:该项目占地约 27 亩,新建 5000m³/d 污水处理厂(土建一次性建设，每期分别为 2500m³/d,以及</w:t>
      </w:r>
      <w:r>
        <w:rPr>
          <w:rFonts w:hint="eastAsia" w:ascii="仿宋_GB2312" w:hAnsi="仿宋_GB2312" w:eastAsia="仿宋_GB2312" w:cs="仿宋_GB2312"/>
          <w:color w:val="auto"/>
          <w:sz w:val="28"/>
          <w:szCs w:val="28"/>
          <w:highlight w:val="none"/>
          <w:lang w:val="en-US" w:eastAsia="zh-CN"/>
        </w:rPr>
        <w:t>不少于</w:t>
      </w: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00m³ 的园区事故池，概算投资约 0.99 亿元</w:t>
      </w:r>
      <w:r>
        <w:rPr>
          <w:rFonts w:hint="eastAsia" w:ascii="仿宋_GB2312" w:hAnsi="仿宋_GB2312" w:eastAsia="仿宋_GB2312" w:cs="仿宋_GB2312"/>
          <w:color w:val="auto"/>
          <w:sz w:val="28"/>
          <w:szCs w:val="28"/>
          <w:highlight w:val="none"/>
          <w:lang w:eastAsia="zh-CN"/>
        </w:rPr>
        <w:t>；安庆桐城化工园区(稳定同位素产业园)一北四路(龙池北路-东一路)建设工程及配套专用管廊项目:该项目新建的东西走向双向4车道城市次干路，设计车速为40km/h。北四路西起现状龙池路，东至规划东一路，总长度约 1220米，道路红线宽 24 米。同时设计配套专用管廊，采用纵梁式混凝土管架。预算约 4000万元。</w:t>
      </w:r>
    </w:p>
    <w:p w14:paraId="4546CA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.资金来源：自筹</w:t>
      </w:r>
      <w:r>
        <w:rPr>
          <w:rFonts w:hint="eastAsia" w:ascii="仿宋_GB2312" w:hAnsi="仿宋_GB2312" w:eastAsia="仿宋_GB2312" w:cs="仿宋_GB2312"/>
          <w:color w:val="auto"/>
          <w:sz w:val="28"/>
          <w:szCs w:val="28"/>
          <w:highlight w:val="none"/>
          <w:lang w:val="en-US" w:eastAsia="zh-CN"/>
        </w:rPr>
        <w:t>资金</w:t>
      </w:r>
    </w:p>
    <w:p w14:paraId="6D8252B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最高限价：①安庆桐城化工园区(稳定同位素产业园)-污水处理厂、事故应急池项目基本酬金：15万元；安庆桐城化工园区(稳定同位素产业园)一北四路(龙池北路-东一路)建设工程及配套专用管廊项目基本酬金：5万元；②审减金额绩效奖励：按跟踪审计结算审核报告中审减金额的2.5%支付。审减额在5%以内审减额奖励费用由建设单位承担，审减额在5%以外（不含5%）审减额奖励费用由施工单位承担，在工程结算时扣除。</w:t>
      </w:r>
    </w:p>
    <w:p w14:paraId="6332A2F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工程延期服务费：跟踪审计服务期限为下达工程开工令至365个日历天止，如遇特殊情况,适时顺延,延期服务费用按5000元/月支付给成交人。不足15个日历天不计算，超过15个日历天未满一个月按一个月计算。本次采用固定报价结算费用。</w:t>
      </w:r>
    </w:p>
    <w:p w14:paraId="6E86502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8.服务期限：①安庆桐城化工园区(稳定同位素产业园)一北四路(龙池北路-东一路)建设工程及配套专用管廊项目自工程开工令后150个日历天，如遇特殊情况,适时顺延。如遇特殊情况,适时顺延。</w:t>
      </w:r>
    </w:p>
    <w:p w14:paraId="0B1CEB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②安庆桐城化工园区(稳定同位素产业园)-污水处理厂、事故应急池项目自自工程开工令后180个日历天。如遇特殊情况,适时顺延。</w:t>
      </w:r>
    </w:p>
    <w:p w14:paraId="2D7CA1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9.服务内容及要求：</w:t>
      </w:r>
      <w:r>
        <w:rPr>
          <w:rFonts w:hint="eastAsia" w:ascii="仿宋_GB2312" w:hAnsi="仿宋_GB2312" w:eastAsia="仿宋_GB2312" w:cs="仿宋_GB2312"/>
          <w:color w:val="auto"/>
          <w:sz w:val="28"/>
          <w:szCs w:val="28"/>
          <w:highlight w:val="none"/>
        </w:rPr>
        <w:t>本工程为</w:t>
      </w:r>
      <w:r>
        <w:rPr>
          <w:rFonts w:hint="eastAsia" w:ascii="仿宋_GB2312" w:hAnsi="仿宋_GB2312" w:eastAsia="仿宋_GB2312" w:cs="仿宋_GB2312"/>
          <w:color w:val="auto"/>
          <w:sz w:val="28"/>
          <w:szCs w:val="28"/>
          <w:highlight w:val="none"/>
          <w:lang w:val="en-US" w:eastAsia="zh-CN"/>
        </w:rPr>
        <w:t>安庆桐城化工园区(稳定同位素产业园)-污水处理厂、事故应急池项目和安庆桐城化工园区(稳定同位素产业园)一北四路(龙池北路-东一路)建设工程及配套专用管廊项目跟踪审计（含结算审计）服务。</w:t>
      </w:r>
    </w:p>
    <w:p w14:paraId="787CE5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比选响应单位资格要求</w:t>
      </w:r>
    </w:p>
    <w:p w14:paraId="7F07C014">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1.投标人应具有合法有效的营业执照；</w:t>
      </w:r>
    </w:p>
    <w:p w14:paraId="275F20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2.投标人应当具有良好信誉。</w:t>
      </w:r>
      <w:r>
        <w:rPr>
          <w:rFonts w:hint="eastAsia" w:ascii="仿宋_GB2312" w:hAnsi="仿宋_GB2312" w:eastAsia="仿宋_GB2312" w:cs="仿宋_GB2312"/>
          <w:b/>
          <w:bCs/>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及其</w:t>
      </w:r>
      <w:r>
        <w:rPr>
          <w:rFonts w:hint="eastAsia" w:ascii="仿宋_GB2312" w:hAnsi="仿宋_GB2312" w:eastAsia="仿宋_GB2312" w:cs="仿宋_GB2312"/>
          <w:b/>
          <w:bCs/>
          <w:color w:val="auto"/>
          <w:sz w:val="28"/>
          <w:szCs w:val="28"/>
          <w:highlight w:val="none"/>
          <w:lang w:val="en-US" w:eastAsia="zh-CN"/>
        </w:rPr>
        <w:t>法定代表人、</w:t>
      </w:r>
      <w:r>
        <w:rPr>
          <w:rFonts w:hint="eastAsia" w:ascii="仿宋_GB2312" w:hAnsi="仿宋_GB2312" w:eastAsia="仿宋_GB2312" w:cs="仿宋_GB2312"/>
          <w:color w:val="auto"/>
          <w:sz w:val="28"/>
          <w:szCs w:val="28"/>
          <w:highlight w:val="none"/>
          <w:lang w:val="en-US" w:eastAsia="zh-CN"/>
        </w:rPr>
        <w:t>拟任本项目的</w:t>
      </w:r>
      <w:r>
        <w:rPr>
          <w:rFonts w:hint="eastAsia" w:ascii="仿宋_GB2312" w:hAnsi="仿宋_GB2312" w:eastAsia="仿宋_GB2312" w:cs="仿宋_GB2312"/>
          <w:b/>
          <w:bCs/>
          <w:color w:val="auto"/>
          <w:sz w:val="28"/>
          <w:szCs w:val="28"/>
          <w:highlight w:val="none"/>
          <w:lang w:val="en-US" w:eastAsia="zh-CN"/>
        </w:rPr>
        <w:t>项目负责人</w:t>
      </w:r>
      <w:r>
        <w:rPr>
          <w:rFonts w:hint="eastAsia" w:ascii="仿宋_GB2312" w:hAnsi="仿宋_GB2312" w:eastAsia="仿宋_GB2312" w:cs="仿宋_GB2312"/>
          <w:color w:val="auto"/>
          <w:sz w:val="28"/>
          <w:szCs w:val="28"/>
          <w:highlight w:val="none"/>
          <w:lang w:val="en-US" w:eastAsia="zh-CN"/>
        </w:rPr>
        <w:t>未被列入全国法院失信被执行人名单（“信用中国”网站（www.creditchina.gov.cn）的“失信被执行人”查询截图或做出承诺）；</w:t>
      </w:r>
    </w:p>
    <w:p w14:paraId="5D3CB2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3.本项目不接受联合体投标；</w:t>
      </w:r>
    </w:p>
    <w:p w14:paraId="42AB66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4.项目的特定资格要求：/。</w:t>
      </w:r>
    </w:p>
    <w:p w14:paraId="0BE95D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三、比选保证金</w:t>
      </w:r>
      <w:r>
        <w:rPr>
          <w:rFonts w:hint="eastAsia" w:ascii="宋体" w:hAnsi="宋体" w:eastAsia="宋体" w:cs="宋体"/>
          <w:i w:val="0"/>
          <w:caps w:val="0"/>
          <w:color w:val="auto"/>
          <w:spacing w:val="0"/>
          <w:sz w:val="19"/>
          <w:szCs w:val="19"/>
          <w:highlight w:val="none"/>
          <w:shd w:val="clear" w:fill="FFFFFF"/>
          <w:lang w:val="en-US" w:eastAsia="zh-CN"/>
        </w:rPr>
        <w:t xml:space="preserve"> </w:t>
      </w:r>
    </w:p>
    <w:p w14:paraId="3FD02DA7">
      <w:pPr>
        <w:keepNext w:val="0"/>
        <w:keepLines w:val="0"/>
        <w:widowControl/>
        <w:suppressLineNumbers w:val="0"/>
        <w:ind w:firstLine="560" w:firstLineChars="20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本项目免收投标保证金。</w:t>
      </w:r>
    </w:p>
    <w:p w14:paraId="348C847D">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报名及获取比选文件</w:t>
      </w:r>
    </w:p>
    <w:p w14:paraId="28D74CA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5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报名方式：</w:t>
      </w:r>
    </w:p>
    <w:p w14:paraId="47015F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人在开标会开始前，本项目响应时需携带法定代表人授权委托书、营业执照复印件并加盖公章进行符合性审查。时间：2025年09月08日17时00分前（节假日不报名），地址：安徽省桐城市昌平路文昌苑B区门面房宇屹咨询（上承地产3楼），联系电话：0556-6698168），也可通过邮寄的方式于报名截止前将报名资料寄至代理机构。</w:t>
      </w:r>
    </w:p>
    <w:p w14:paraId="47736708">
      <w:pPr>
        <w:spacing w:line="360" w:lineRule="auto"/>
        <w:ind w:firstLine="422" w:firstLineChars="150"/>
        <w:rPr>
          <w:rFonts w:hint="eastAsia" w:ascii="仿宋_GB2312" w:hAnsi="仿宋_GB2312" w:eastAsia="仿宋_GB2312" w:cs="仿宋_GB2312"/>
          <w:color w:val="auto"/>
          <w:sz w:val="28"/>
          <w:szCs w:val="28"/>
          <w:highlight w:val="none"/>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时间：2025年</w:t>
      </w:r>
      <w:r>
        <w:rPr>
          <w:rFonts w:hint="eastAsia" w:ascii="仿宋_GB2312" w:hAnsi="仿宋_GB2312" w:eastAsia="仿宋_GB2312" w:cs="仿宋_GB2312"/>
          <w:color w:val="auto"/>
          <w:sz w:val="28"/>
          <w:szCs w:val="28"/>
          <w:highlight w:val="none"/>
          <w:lang w:val="en-US" w:eastAsia="zh-CN"/>
        </w:rPr>
        <w:t>09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02</w:t>
      </w:r>
      <w:r>
        <w:rPr>
          <w:rFonts w:hint="eastAsia" w:ascii="仿宋_GB2312" w:hAnsi="仿宋_GB2312" w:eastAsia="仿宋_GB2312" w:cs="仿宋_GB2312"/>
          <w:color w:val="auto"/>
          <w:sz w:val="28"/>
          <w:szCs w:val="28"/>
          <w:highlight w:val="none"/>
        </w:rPr>
        <w:t>日至2025年</w:t>
      </w:r>
      <w:r>
        <w:rPr>
          <w:rFonts w:hint="eastAsia" w:ascii="仿宋_GB2312" w:hAnsi="仿宋_GB2312" w:eastAsia="仿宋_GB2312" w:cs="仿宋_GB2312"/>
          <w:color w:val="auto"/>
          <w:sz w:val="28"/>
          <w:szCs w:val="28"/>
          <w:highlight w:val="none"/>
          <w:lang w:val="en-US" w:eastAsia="zh-CN"/>
        </w:rPr>
        <w:t>09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08</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lang w:val="en-US" w:eastAsia="zh-CN"/>
        </w:rPr>
        <w:t>30</w:t>
      </w:r>
      <w:r>
        <w:rPr>
          <w:rFonts w:hint="eastAsia" w:ascii="仿宋_GB2312" w:hAnsi="仿宋_GB2312" w:eastAsia="仿宋_GB2312" w:cs="仿宋_GB2312"/>
          <w:color w:val="auto"/>
          <w:sz w:val="28"/>
          <w:szCs w:val="28"/>
          <w:highlight w:val="none"/>
        </w:rPr>
        <w:t>分（北京时间）</w:t>
      </w:r>
    </w:p>
    <w:p w14:paraId="26438AF3">
      <w:pPr>
        <w:spacing w:line="360" w:lineRule="auto"/>
        <w:ind w:firstLine="422" w:firstLineChars="150"/>
        <w:rPr>
          <w:rFonts w:hint="eastAsia" w:ascii="仿宋_GB2312" w:hAnsi="仿宋_GB2312" w:eastAsia="仿宋_GB2312" w:cs="仿宋_GB2312"/>
          <w:color w:val="auto"/>
          <w:kern w:val="0"/>
          <w:sz w:val="28"/>
          <w:szCs w:val="28"/>
          <w:highlight w:val="none"/>
          <w:lang w:val="en-US" w:eastAsia="zh-CN" w:bidi="ar"/>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地点：桐城经开区建设投资集团网站（http://www.tcjjj.cn/）</w:t>
      </w:r>
      <w:r>
        <w:rPr>
          <w:rFonts w:hint="eastAsia" w:ascii="仿宋_GB2312" w:hAnsi="仿宋_GB2312" w:eastAsia="仿宋_GB2312" w:cs="仿宋_GB2312"/>
          <w:color w:val="auto"/>
          <w:kern w:val="0"/>
          <w:sz w:val="28"/>
          <w:szCs w:val="28"/>
          <w:highlight w:val="none"/>
        </w:rPr>
        <w:t>自行下载</w:t>
      </w:r>
    </w:p>
    <w:p w14:paraId="4C764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五、开标时间及地点</w:t>
      </w:r>
    </w:p>
    <w:p w14:paraId="70DA4920">
      <w:pPr>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开标（比选）</w:t>
      </w: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09月09日09时30分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北京时间</w:t>
      </w:r>
      <w:r>
        <w:rPr>
          <w:rFonts w:hint="eastAsia" w:ascii="仿宋_GB2312" w:hAnsi="仿宋_GB2312" w:eastAsia="仿宋_GB2312" w:cs="仿宋_GB2312"/>
          <w:color w:val="auto"/>
          <w:sz w:val="28"/>
          <w:szCs w:val="28"/>
          <w:highlight w:val="none"/>
          <w:lang w:eastAsia="zh-CN"/>
        </w:rPr>
        <w:t>）</w:t>
      </w:r>
    </w:p>
    <w:p w14:paraId="101D6FE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2.地点：</w:t>
      </w:r>
      <w:r>
        <w:rPr>
          <w:rFonts w:hint="eastAsia" w:ascii="仿宋_GB2312" w:hAnsi="仿宋_GB2312" w:eastAsia="仿宋_GB2312" w:cs="仿宋_GB2312"/>
          <w:color w:val="auto"/>
          <w:sz w:val="28"/>
          <w:szCs w:val="28"/>
          <w:highlight w:val="none"/>
          <w:lang w:val="en-US" w:eastAsia="zh-CN"/>
        </w:rPr>
        <w:t>桐城市新兴产业建设发展有限公司7楼会议室</w:t>
      </w:r>
    </w:p>
    <w:p w14:paraId="44F2BA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六、比选响应文件递交截止时间及地点</w:t>
      </w:r>
    </w:p>
    <w:p w14:paraId="1ABBB484">
      <w:pPr>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比选响应文件</w:t>
      </w:r>
      <w:r>
        <w:rPr>
          <w:rFonts w:hint="eastAsia" w:ascii="仿宋_GB2312" w:hAnsi="仿宋_GB2312" w:eastAsia="仿宋_GB2312" w:cs="仿宋_GB2312"/>
          <w:color w:val="auto"/>
          <w:sz w:val="28"/>
          <w:szCs w:val="28"/>
          <w:highlight w:val="none"/>
        </w:rPr>
        <w:t>递交截止时</w:t>
      </w:r>
      <w:r>
        <w:rPr>
          <w:rFonts w:hint="eastAsia" w:ascii="仿宋_GB2312" w:hAnsi="仿宋_GB2312" w:eastAsia="仿宋_GB2312" w:cs="仿宋_GB2312"/>
          <w:color w:val="auto"/>
          <w:sz w:val="28"/>
          <w:szCs w:val="28"/>
          <w:highlight w:val="none"/>
          <w:lang w:val="en-US" w:eastAsia="zh-CN"/>
        </w:rPr>
        <w:t>间：2025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09月09 日9时30分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北京时间</w:t>
      </w:r>
      <w:r>
        <w:rPr>
          <w:rFonts w:hint="eastAsia" w:ascii="仿宋_GB2312" w:hAnsi="仿宋_GB2312" w:eastAsia="仿宋_GB2312" w:cs="仿宋_GB2312"/>
          <w:color w:val="auto"/>
          <w:sz w:val="28"/>
          <w:szCs w:val="28"/>
          <w:highlight w:val="none"/>
          <w:lang w:eastAsia="zh-CN"/>
        </w:rPr>
        <w:t>）</w:t>
      </w:r>
    </w:p>
    <w:p w14:paraId="670DA32D">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比选响应文件</w:t>
      </w:r>
      <w:r>
        <w:rPr>
          <w:rFonts w:hint="eastAsia" w:ascii="仿宋_GB2312" w:hAnsi="仿宋_GB2312" w:eastAsia="仿宋_GB2312" w:cs="仿宋_GB2312"/>
          <w:color w:val="auto"/>
          <w:sz w:val="28"/>
          <w:szCs w:val="28"/>
          <w:highlight w:val="none"/>
        </w:rPr>
        <w:t>递交地点：</w:t>
      </w:r>
      <w:r>
        <w:rPr>
          <w:rFonts w:hint="eastAsia" w:ascii="仿宋_GB2312" w:hAnsi="仿宋_GB2312" w:eastAsia="仿宋_GB2312" w:cs="仿宋_GB2312"/>
          <w:color w:val="auto"/>
          <w:sz w:val="28"/>
          <w:szCs w:val="28"/>
          <w:highlight w:val="none"/>
          <w:lang w:val="en-US" w:eastAsia="zh-CN"/>
        </w:rPr>
        <w:t>桐城市新兴产业建设发展有限公司7楼会议室</w:t>
      </w:r>
    </w:p>
    <w:p w14:paraId="1A2F1C4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收件人：方先生，联系电话：0556-6677956。</w:t>
      </w:r>
    </w:p>
    <w:p w14:paraId="3634C5AF">
      <w:pPr>
        <w:pStyle w:val="15"/>
        <w:keepNext w:val="0"/>
        <w:keepLines w:val="0"/>
        <w:pageBreakBefore w:val="0"/>
        <w:widowControl w:val="0"/>
        <w:kinsoku/>
        <w:wordWrap/>
        <w:overflowPunct/>
        <w:topLinePunct w:val="0"/>
        <w:autoSpaceDE/>
        <w:autoSpaceDN/>
        <w:bidi w:val="0"/>
        <w:adjustRightInd/>
        <w:snapToGrid/>
        <w:spacing w:beforeAutospacing="0" w:afterAutospacing="0" w:line="500" w:lineRule="atLeast"/>
        <w:ind w:left="0" w:leftChars="0" w:firstLine="492" w:firstLineChars="17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比选响应文件一正一副，并在密封袋上清楚的注明项目名称</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备注：①资格审查部分正、副本，一起装袋密封，并在密封袋上清楚的注明“资格审查部分”；技术部分正、副本，一起装袋密封，并在密封袋上清楚的注明“技术部分”；商务部分正、副本，一起装袋密封，并在密封袋上清楚的注明“商务部分”。②响应文件均须加盖实体公章，不得使用电子章代替；如盖电子章，视为无效标）。</w:t>
      </w:r>
      <w:r>
        <w:rPr>
          <w:rFonts w:hint="eastAsia" w:ascii="仿宋_GB2312" w:hAnsi="仿宋_GB2312" w:eastAsia="仿宋_GB2312" w:cs="仿宋_GB2312"/>
          <w:b/>
          <w:bCs/>
          <w:color w:val="auto"/>
          <w:sz w:val="28"/>
          <w:szCs w:val="28"/>
          <w:highlight w:val="none"/>
        </w:rPr>
        <w:t>比选响应文件必须胶订或线订形式装订成册</w:t>
      </w:r>
      <w:r>
        <w:rPr>
          <w:rFonts w:hint="eastAsia" w:ascii="仿宋_GB2312" w:hAnsi="仿宋_GB2312" w:eastAsia="仿宋_GB2312" w:cs="仿宋_GB2312"/>
          <w:color w:val="auto"/>
          <w:sz w:val="28"/>
          <w:szCs w:val="28"/>
          <w:highlight w:val="none"/>
        </w:rPr>
        <w:t>，活页装订（是指用卡条、抽杆夹、订书机等形式装订，使标书可以拆卸或者在翻动过程中易脱落的一种装订方式）的比选响应文件作无效响应处理。</w:t>
      </w:r>
    </w:p>
    <w:p w14:paraId="2C8FAADD">
      <w:pPr>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3.比选有效期：90日历天（从比选响应文件</w:t>
      </w:r>
      <w:r>
        <w:rPr>
          <w:rFonts w:hint="eastAsia" w:ascii="仿宋_GB2312" w:hAnsi="仿宋_GB2312" w:eastAsia="仿宋_GB2312" w:cs="仿宋_GB2312"/>
          <w:color w:val="auto"/>
          <w:sz w:val="28"/>
          <w:szCs w:val="28"/>
          <w:highlight w:val="none"/>
        </w:rPr>
        <w:t>递交</w:t>
      </w:r>
      <w:r>
        <w:rPr>
          <w:rFonts w:hint="eastAsia" w:ascii="仿宋_GB2312" w:hAnsi="仿宋_GB2312" w:eastAsia="仿宋_GB2312" w:cs="仿宋_GB2312"/>
          <w:color w:val="auto"/>
          <w:sz w:val="28"/>
          <w:szCs w:val="28"/>
          <w:highlight w:val="none"/>
          <w:lang w:val="en-US" w:eastAsia="zh-CN"/>
        </w:rPr>
        <w:t>截止时间算起）</w:t>
      </w:r>
    </w:p>
    <w:p w14:paraId="52E45D32">
      <w:pPr>
        <w:spacing w:line="360" w:lineRule="auto"/>
        <w:rPr>
          <w:rFonts w:hint="default"/>
          <w:b/>
          <w:bCs/>
          <w:color w:val="auto"/>
          <w:highlight w:val="none"/>
          <w:lang w:val="en-US" w:eastAsia="zh-CN"/>
        </w:rPr>
      </w:pPr>
      <w:r>
        <w:rPr>
          <w:rFonts w:hint="eastAsia" w:ascii="宋体" w:hAnsi="宋体" w:eastAsia="宋体" w:cs="宋体"/>
          <w:b/>
          <w:bCs/>
          <w:color w:val="auto"/>
          <w:sz w:val="28"/>
          <w:szCs w:val="28"/>
          <w:highlight w:val="none"/>
          <w:lang w:val="en-US" w:eastAsia="zh-CN"/>
        </w:rPr>
        <w:t>七、代理服务费</w:t>
      </w:r>
      <w:r>
        <w:rPr>
          <w:rFonts w:hint="eastAsia" w:ascii="宋体" w:hAnsi="宋体" w:eastAsia="宋体" w:cs="宋体"/>
          <w:color w:val="auto"/>
          <w:sz w:val="28"/>
          <w:szCs w:val="28"/>
          <w:highlight w:val="none"/>
          <w:lang w:val="en-US" w:eastAsia="zh-CN"/>
        </w:rPr>
        <w:t>：</w:t>
      </w:r>
      <w:r>
        <w:rPr>
          <w:rFonts w:hint="eastAsia" w:ascii="仿宋_GB2312" w:hAnsi="仿宋_GB2312" w:eastAsia="仿宋_GB2312" w:cs="仿宋_GB2312"/>
          <w:color w:val="auto"/>
          <w:kern w:val="0"/>
          <w:sz w:val="28"/>
          <w:szCs w:val="28"/>
          <w:highlight w:val="none"/>
          <w:lang w:val="en-US" w:eastAsia="zh-CN" w:bidi="ar-SA"/>
        </w:rPr>
        <w:t>成交服务费的收取采用差额定率累进计费方式，以成交价为计算基数，按下表规定的服务招标标准收取（</w:t>
      </w:r>
      <w:r>
        <w:rPr>
          <w:rFonts w:hint="eastAsia" w:ascii="仿宋_GB2312" w:hAnsi="仿宋_GB2312" w:eastAsia="仿宋_GB2312" w:cs="仿宋_GB2312"/>
          <w:b/>
          <w:bCs/>
          <w:color w:val="auto"/>
          <w:kern w:val="0"/>
          <w:sz w:val="28"/>
          <w:szCs w:val="28"/>
          <w:highlight w:val="none"/>
          <w:lang w:val="en-US" w:eastAsia="zh-CN" w:bidi="ar-SA"/>
        </w:rPr>
        <w:t>不足3000元，按3000元收取</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color w:val="auto"/>
          <w:kern w:val="0"/>
          <w:sz w:val="28"/>
          <w:szCs w:val="28"/>
          <w:highlight w:val="none"/>
          <w:u w:val="none"/>
          <w:lang w:val="en-US" w:eastAsia="zh-CN" w:bidi="ar-SA"/>
        </w:rPr>
        <w:t>由中标人支付。</w:t>
      </w:r>
    </w:p>
    <w:tbl>
      <w:tblPr>
        <w:tblStyle w:val="19"/>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285"/>
        <w:gridCol w:w="2285"/>
        <w:gridCol w:w="2285"/>
      </w:tblGrid>
      <w:tr w14:paraId="0D00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85" w:type="dxa"/>
            <mc:AlternateContent>
              <mc:Choice Requires="wpsCustomData">
                <wpsCustomData:diagonals>
                  <wpsCustomData:diagonal from="10000" to="30000">
                    <wpsCustomData:border w:val="single" w:color="auto" w:sz="4" w:space="0"/>
                  </wpsCustomData:diagonal>
                </wpsCustomData:diagonals>
              </mc:Choice>
            </mc:AlternateContent>
          </w:tcPr>
          <w:p w14:paraId="7152D569">
            <w:pPr>
              <w:pStyle w:val="6"/>
              <w:keepNext w:val="0"/>
              <w:keepLines w:val="0"/>
              <w:suppressLineNumbers w:val="0"/>
              <w:snapToGrid w:val="0"/>
              <w:spacing w:before="0" w:beforeAutospacing="0" w:afterAutospacing="0" w:line="240" w:lineRule="auto"/>
              <w:ind w:left="0" w:right="0"/>
              <w:rPr>
                <w:rFonts w:hint="eastAsia" w:ascii="仿宋_GB2312" w:hAnsi="仿宋_GB2312" w:eastAsia="仿宋_GB2312" w:cs="仿宋_GB2312"/>
                <w:b/>
                <w:bCs/>
                <w:color w:val="auto"/>
                <w:kern w:val="0"/>
                <w:sz w:val="28"/>
                <w:szCs w:val="28"/>
                <w:highlight w:val="none"/>
                <w:vertAlign w:val="baseline"/>
                <w:lang w:val="en-US" w:eastAsia="zh-CN" w:bidi="ar-SA"/>
              </w:rPr>
            </w:pPr>
          </w:p>
          <w:p w14:paraId="2A69C39A">
            <w:pPr>
              <w:pStyle w:val="6"/>
              <w:keepNext w:val="0"/>
              <w:keepLines w:val="0"/>
              <w:suppressLineNumbers w:val="0"/>
              <w:snapToGrid w:val="0"/>
              <w:spacing w:before="0" w:beforeAutospacing="0" w:afterAutospacing="0" w:line="240" w:lineRule="auto"/>
              <w:ind w:left="0" w:right="0"/>
              <mc:AlternateContent>
                <mc:Choice Requires="wpsCustomData">
                  <wpsCustomData:diagonalParaType/>
                </mc:Choice>
              </mc:AlternateContent>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中标价</w:t>
            </w:r>
          </w:p>
          <w:p w14:paraId="6F00DBB9">
            <w:pPr>
              <w:pStyle w:val="6"/>
              <w:keepNext w:val="0"/>
              <w:keepLines w:val="0"/>
              <w:suppressLineNumbers w:val="0"/>
              <w:spacing w:before="0" w:beforeAutospacing="0" w:afterAutospacing="0"/>
              <w:ind w:left="0" w:right="0" w:firstLine="281" w:firstLineChars="100"/>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费率</w:t>
            </w:r>
          </w:p>
        </w:tc>
        <w:tc>
          <w:tcPr>
            <w:tcW w:w="2285" w:type="dxa"/>
            <w:vAlign w:val="bottom"/>
          </w:tcPr>
          <w:p w14:paraId="611CA715">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货物招标</w:t>
            </w:r>
          </w:p>
        </w:tc>
        <w:tc>
          <w:tcPr>
            <w:tcW w:w="2285" w:type="dxa"/>
            <w:vAlign w:val="bottom"/>
          </w:tcPr>
          <w:p w14:paraId="5EC5B00B">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服务招标</w:t>
            </w:r>
          </w:p>
        </w:tc>
        <w:tc>
          <w:tcPr>
            <w:tcW w:w="2285" w:type="dxa"/>
            <w:vAlign w:val="bottom"/>
          </w:tcPr>
          <w:p w14:paraId="475AEC76">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工程招标</w:t>
            </w:r>
          </w:p>
        </w:tc>
      </w:tr>
      <w:tr w14:paraId="5F71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85" w:type="dxa"/>
          </w:tcPr>
          <w:p w14:paraId="47B090DE">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100万元以下</w:t>
            </w:r>
          </w:p>
        </w:tc>
        <w:tc>
          <w:tcPr>
            <w:tcW w:w="2285" w:type="dxa"/>
            <w:vAlign w:val="bottom"/>
          </w:tcPr>
          <w:p w14:paraId="4500E5C9">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0A93F19C">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6E9DC413">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w:t>
            </w:r>
          </w:p>
        </w:tc>
      </w:tr>
      <w:tr w14:paraId="1ACD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13C33041">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100～500万元</w:t>
            </w:r>
          </w:p>
        </w:tc>
        <w:tc>
          <w:tcPr>
            <w:tcW w:w="2285" w:type="dxa"/>
            <w:vAlign w:val="bottom"/>
          </w:tcPr>
          <w:p w14:paraId="0019D843">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1.1%</w:t>
            </w:r>
          </w:p>
        </w:tc>
        <w:tc>
          <w:tcPr>
            <w:tcW w:w="2285" w:type="dxa"/>
            <w:vAlign w:val="bottom"/>
          </w:tcPr>
          <w:p w14:paraId="458ADB76">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05DB341">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0.7%</w:t>
            </w:r>
          </w:p>
        </w:tc>
      </w:tr>
      <w:tr w14:paraId="1B7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58618094">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500～1000万元</w:t>
            </w:r>
          </w:p>
        </w:tc>
        <w:tc>
          <w:tcPr>
            <w:tcW w:w="2285" w:type="dxa"/>
            <w:vAlign w:val="bottom"/>
          </w:tcPr>
          <w:p w14:paraId="2C86AEB1">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B5EC8B5">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0.45%</w:t>
            </w:r>
          </w:p>
        </w:tc>
        <w:tc>
          <w:tcPr>
            <w:tcW w:w="2285" w:type="dxa"/>
            <w:vAlign w:val="bottom"/>
          </w:tcPr>
          <w:p w14:paraId="3767392E">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0.55%</w:t>
            </w:r>
          </w:p>
        </w:tc>
      </w:tr>
      <w:tr w14:paraId="363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85" w:type="dxa"/>
          </w:tcPr>
          <w:p w14:paraId="26B5B45B">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1000～1500万元</w:t>
            </w:r>
          </w:p>
        </w:tc>
        <w:tc>
          <w:tcPr>
            <w:tcW w:w="2285" w:type="dxa"/>
            <w:shd w:val="clear" w:color="auto" w:fill="auto"/>
            <w:vAlign w:val="bottom"/>
          </w:tcPr>
          <w:p w14:paraId="6FC02067">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w:t>
            </w:r>
          </w:p>
        </w:tc>
        <w:tc>
          <w:tcPr>
            <w:tcW w:w="2285" w:type="dxa"/>
            <w:shd w:val="clear" w:color="auto" w:fill="auto"/>
            <w:vAlign w:val="bottom"/>
          </w:tcPr>
          <w:p w14:paraId="3EB7B9C1">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0.25%</w:t>
            </w:r>
          </w:p>
        </w:tc>
        <w:tc>
          <w:tcPr>
            <w:tcW w:w="2285" w:type="dxa"/>
            <w:shd w:val="clear" w:color="auto" w:fill="auto"/>
            <w:vAlign w:val="bottom"/>
          </w:tcPr>
          <w:p w14:paraId="264DC0A0">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0.35%</w:t>
            </w:r>
          </w:p>
        </w:tc>
      </w:tr>
    </w:tbl>
    <w:p w14:paraId="5E0D5A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、公告媒介及期限</w:t>
      </w:r>
      <w:r>
        <w:rPr>
          <w:rFonts w:hint="eastAsia" w:ascii="宋体" w:hAnsi="宋体" w:eastAsia="宋体" w:cs="宋体"/>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次</w:t>
      </w:r>
      <w:r>
        <w:rPr>
          <w:rFonts w:hint="eastAsia" w:ascii="仿宋_GB2312" w:hAnsi="仿宋_GB2312" w:eastAsia="仿宋_GB2312" w:cs="仿宋_GB2312"/>
          <w:color w:val="auto"/>
          <w:sz w:val="28"/>
          <w:szCs w:val="28"/>
          <w:highlight w:val="none"/>
        </w:rPr>
        <w:t>公告在</w:t>
      </w:r>
      <w:r>
        <w:rPr>
          <w:rFonts w:hint="eastAsia" w:ascii="仿宋_GB2312" w:hAnsi="仿宋_GB2312" w:eastAsia="仿宋_GB2312" w:cs="仿宋_GB2312"/>
          <w:color w:val="auto"/>
          <w:sz w:val="28"/>
          <w:szCs w:val="28"/>
          <w:highlight w:val="none"/>
          <w:lang w:val="en-US" w:eastAsia="zh-CN"/>
        </w:rPr>
        <w:t>桐城经开区建设投资集团</w:t>
      </w:r>
      <w:r>
        <w:rPr>
          <w:rFonts w:hint="eastAsia" w:ascii="仿宋_GB2312" w:hAnsi="仿宋_GB2312" w:eastAsia="仿宋_GB2312" w:cs="仿宋_GB2312"/>
          <w:color w:val="auto"/>
          <w:sz w:val="28"/>
          <w:szCs w:val="28"/>
          <w:highlight w:val="none"/>
        </w:rPr>
        <w:t>网站（http://www.tcjjj.cn/）上发布，期限为自公告发布之日起</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个工作日。</w:t>
      </w:r>
    </w:p>
    <w:p w14:paraId="533B4F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九、联系方式</w:t>
      </w:r>
    </w:p>
    <w:p w14:paraId="69E73BBE">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1.比选人：桐城市新兴产业建设发展有限公司</w:t>
      </w:r>
    </w:p>
    <w:p w14:paraId="5DD80A7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地址：桐桐城市经济技术开发区东环路30号</w:t>
      </w:r>
    </w:p>
    <w:p w14:paraId="0F194E84">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联系人：方先生   </w:t>
      </w:r>
    </w:p>
    <w:p w14:paraId="2F7682D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电话：0556-6677956 </w:t>
      </w:r>
    </w:p>
    <w:p w14:paraId="4339FC6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2.代理机构：安庆宇屹工程咨询有限公司</w:t>
      </w:r>
    </w:p>
    <w:p w14:paraId="7BF56BE0">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地址：桐城市昌平路文昌苑B区门面房</w:t>
      </w:r>
    </w:p>
    <w:p w14:paraId="20BDBC46">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联系人：李工</w:t>
      </w:r>
    </w:p>
    <w:p w14:paraId="47257577">
      <w:pPr>
        <w:spacing w:line="360" w:lineRule="auto"/>
        <w:ind w:firstLine="420" w:firstLineChars="15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电话：0556-6698168</w:t>
      </w:r>
    </w:p>
    <w:p w14:paraId="585A5B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宋体" w:hAnsi="宋体" w:eastAsia="宋体" w:cs="宋体"/>
          <w:b/>
          <w:bCs/>
          <w:color w:val="auto"/>
          <w:sz w:val="28"/>
          <w:szCs w:val="28"/>
          <w:highlight w:val="none"/>
          <w:lang w:val="en-US" w:eastAsia="zh-CN"/>
        </w:rPr>
        <w:t>十、其他事项说明</w:t>
      </w:r>
    </w:p>
    <w:p w14:paraId="2E3C9097">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编制比选响应文件、现场考察、递交比选响应文件等比选招标过程中所涉及的一切费用均由</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自己承担。</w:t>
      </w:r>
    </w:p>
    <w:p w14:paraId="597C788B">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2、报价说明</w:t>
      </w:r>
    </w:p>
    <w:p w14:paraId="2103A2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w:t>
      </w:r>
      <w:r>
        <w:rPr>
          <w:rFonts w:hint="eastAsia" w:ascii="仿宋" w:hAnsi="仿宋" w:eastAsia="仿宋" w:cs="仿宋"/>
          <w:b w:val="0"/>
          <w:bCs w:val="0"/>
          <w:color w:val="auto"/>
          <w:sz w:val="28"/>
          <w:szCs w:val="28"/>
          <w:highlight w:val="none"/>
          <w:lang w:val="en-US" w:eastAsia="zh-CN"/>
        </w:rPr>
        <w:t>本项目最高限价：</w:t>
      </w:r>
      <w:r>
        <w:rPr>
          <w:rFonts w:hint="eastAsia" w:ascii="仿宋_GB2312" w:hAnsi="仿宋_GB2312" w:eastAsia="仿宋_GB2312" w:cs="仿宋_GB2312"/>
          <w:color w:val="auto"/>
          <w:sz w:val="28"/>
          <w:szCs w:val="28"/>
          <w:highlight w:val="none"/>
          <w:lang w:val="en-US" w:eastAsia="zh-CN"/>
        </w:rPr>
        <w:t>①安庆桐城化工园区(稳定同位素产业园)-污水处理厂、事故应急池项目基本酬金：15万元；安庆桐城化工园区(稳定同位素产业园)一北四路(龙池北路-东一路)建设工程及配套专用管廊项目基本酬金：5万元；②审减金额绩效奖励：按跟踪审计结算审核报告中审减金额的2.5%支付。审减额在5%以内审减额奖励费用由建设单位承担，审减额在5%以外（不含5%）审减额奖励费用由施工单位承担，在工程结算时扣除。</w:t>
      </w:r>
    </w:p>
    <w:p w14:paraId="2118A7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工程延期服务费：跟踪审计服务期限为下达工程开工令至365个日历天止，如遇特殊情况,适时顺延,延期服务费用按5000元/月支付给成交人。不足15个日历天不计算，超过15个日历天未满一个月按一个月计算。本次采用固定报价结算费用。</w:t>
      </w:r>
    </w:p>
    <w:p w14:paraId="206CC84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的报价应为完成本项目合同约定工作内容所发生的成本、利润、管理费、税金等费用。</w:t>
      </w:r>
    </w:p>
    <w:p w14:paraId="3781F1C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只能有一个报价，比选人不接受任何有选择性的报价。</w:t>
      </w:r>
    </w:p>
    <w:p w14:paraId="29604D2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2.4中标人所报价格将作为其与比选人签订本服务合同及进行费用结算的依据。</w:t>
      </w:r>
    </w:p>
    <w:p w14:paraId="09D09D86">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按比选文件规定格式和内容进行报价填报，正本一份，副本一份，一起装袋密封。正、副本内容应一致，当副本和正本不一致时，以正本为准，但副本和正本内容不一致造成的后果由</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自行承担。所有响应文件应密封完好，封口处应加盖单位公章或法定代表人印章。不接受未按要求进行密封和标记的响应文件。</w:t>
      </w:r>
    </w:p>
    <w:p w14:paraId="34FF230D">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4、开标</w:t>
      </w:r>
    </w:p>
    <w:p w14:paraId="0B785D3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标将按本公告中规定的时间、地点以公开方式进行。开标会由比选人代表、比选响应单位和有关方代表参加。有效文件开标前，比选人代表应检查比选响应文件的密封情况，确认无误后，由有关工作人员当众启封，宣读有效比选响应人名称、比选响应文件的报价和可能的澄清、说明等关键备注文件，以及比选人认为合适的其他内容。比选人做好开标记录，记录须由有关人员签字存档备查。</w:t>
      </w:r>
    </w:p>
    <w:p w14:paraId="65E8089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5、评标</w:t>
      </w:r>
    </w:p>
    <w:p w14:paraId="063A2B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638" w:firstLineChars="228"/>
        <w:jc w:val="both"/>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依法组建评标小组。</w:t>
      </w:r>
      <w:r>
        <w:rPr>
          <w:rFonts w:hint="eastAsia" w:ascii="仿宋_GB2312" w:hAnsi="仿宋_GB2312" w:eastAsia="仿宋_GB2312" w:cs="仿宋_GB2312"/>
          <w:color w:val="auto"/>
          <w:kern w:val="0"/>
          <w:sz w:val="28"/>
          <w:szCs w:val="28"/>
          <w:highlight w:val="none"/>
          <w:u w:val="none"/>
          <w:lang w:val="en-US" w:eastAsia="zh-CN" w:bidi="ar-SA"/>
        </w:rPr>
        <w:t>评标小组由专家库技术方面的人员组成，成员由三人或以上单数人员构成</w:t>
      </w:r>
      <w:r>
        <w:rPr>
          <w:rFonts w:hint="eastAsia" w:ascii="仿宋_GB2312" w:hAnsi="仿宋_GB2312" w:eastAsia="仿宋_GB2312" w:cs="仿宋_GB2312"/>
          <w:color w:val="auto"/>
          <w:sz w:val="28"/>
          <w:szCs w:val="28"/>
          <w:highlight w:val="none"/>
          <w:lang w:val="en-US" w:eastAsia="zh-CN"/>
        </w:rPr>
        <w:t>，监督人员由比选人参与。</w:t>
      </w:r>
    </w:p>
    <w:p w14:paraId="48DEB2C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标小组全面负责评标工作。依据公平、公正原则，评标小组应全面、充分地审阅比选响应文件，进行评审和比较，采用“综合评分法”得出评审结论。完成评标后，评标小组应提出书面评标报告，并由评标小组全体成员签字。</w:t>
      </w:r>
    </w:p>
    <w:p w14:paraId="4E035B7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及评标组的权利：在有充分理由的前提下，评标小组有选择或拒绝任何比选响应人中选的权利，以及宣布比选程序无效或拒绝所有的比选响应人的权利。为此，比选单位无须向受影响的比选响应人承担任何责任，也无须将这样做的理由通知受影响的比选响应人。</w:t>
      </w:r>
    </w:p>
    <w:p w14:paraId="0EEF34F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标过程的保密性：凡属于审查、澄清、评价和比较的有关资料以及中选候选人等，评标小组及有关工作人员自始至终均不得向比选响应人或与其有关人员透露。在评标过程中，比选响应人不得通过任何单位和个人对比选单位施加任何影响，否则将会导致其比选响应被拒绝。</w:t>
      </w:r>
    </w:p>
    <w:p w14:paraId="2C1F760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6、定标</w:t>
      </w:r>
    </w:p>
    <w:p w14:paraId="14AF38F9">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比选人自评标结束之日起2个工作日内公示中选候选人，公示期为1个工作日。公示期收到评标结果异议的，按相关法规处理。</w:t>
      </w:r>
    </w:p>
    <w:p w14:paraId="3216DA27">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7、中标通知书</w:t>
      </w:r>
    </w:p>
    <w:p w14:paraId="46163FBF">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比选人向中选人发出中标通知书。中选人应当在通知规定的时间、地点和比选人签订采购合同。</w:t>
      </w:r>
    </w:p>
    <w:p w14:paraId="4E55E97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8、违约责任</w:t>
      </w:r>
    </w:p>
    <w:p w14:paraId="1F06F272">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中标通知书发出后，比选人改变中选结果的，或者中选人放弃中标的，应当依法承担法律责任。</w:t>
      </w:r>
    </w:p>
    <w:p w14:paraId="346B19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十一、签订合同</w:t>
      </w:r>
    </w:p>
    <w:p w14:paraId="2EB630C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1、比选人和中选人在规定的时间地点签订本项目采购合同。</w:t>
      </w:r>
    </w:p>
    <w:p w14:paraId="2D8FED32">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2、投标须知、中选方的比选响应文件及评标过程中有关澄清、修改文件均应作为合同的附件，同具法律效力。</w:t>
      </w:r>
    </w:p>
    <w:p w14:paraId="281FFC8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3、付款方式：工程开工后每季度支付一次，每次支付基本酬金的25% ，最高支付至100% 。</w:t>
      </w:r>
    </w:p>
    <w:p w14:paraId="782FBE8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审减绩效奖励等其他所有未结清费用在出具跟踪审计结算报告后一个月内付清。</w:t>
      </w:r>
    </w:p>
    <w:p w14:paraId="799A71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如工程延期，延期服务费用按5000元/月支付给成交人，不足15个日历天不计算，超过15个日历天未满一个月按一个月计算。延期服务费在延期后每季度继续结算和支付。</w:t>
      </w:r>
    </w:p>
    <w:p w14:paraId="25BAE5C1">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14:paraId="5CEC29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p>
    <w:p w14:paraId="5FF25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37407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、项目概况</w:t>
      </w:r>
    </w:p>
    <w:p w14:paraId="324D08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安庆桐城化工园区(稳定同位素产业园)-污水处理厂、事故应急池项目:该项目占地约 27 亩,新建 5000m³/d 污水处理厂(土建一次性建设，每期分别为 2500m³/d,以及不少于5600m³ 的园区事故池，概算投资约 0.99 亿元；安庆桐城化工园区(稳定同位素产业园)一北四路(龙池北路-东一路)建设工程及配套专用管廊项目:该项目新建的东西走向双向4车道城市次干路，设计车速为40km/h。北四路西起现状龙池路，东至规划东一路，总长度约 1220米，道路红线宽 24 米。同时设计配套专用管廊，采用纵梁式混凝土管架。预算约 4000万元。</w:t>
      </w:r>
    </w:p>
    <w:p w14:paraId="0CB571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、服务需求</w:t>
      </w:r>
    </w:p>
    <w:p w14:paraId="54993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本工程为安庆桐城化工园区(稳定同位素产业园)-污水处理厂、事故应急池项目和安庆桐城化工园区(稳定同位素产业园)一北四路(龙池北路-东一路)建设工程及配套专用管廊项目跟踪审计服务。项目范围详见项目概况。</w:t>
      </w:r>
    </w:p>
    <w:p w14:paraId="53D0C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2、服务费用：</w:t>
      </w:r>
    </w:p>
    <w:p w14:paraId="77F6C2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安庆桐城化工园区(稳定同位素产业园)-污水处理厂、事故应急池项目基本酬金：15万元；安庆桐城化工园区(稳定同位素产业园)一北四路(龙池北路-东一路)建设工程及配套专用管廊项目基本酬金：5万元；②审减金额绩效奖励：按跟踪审计结算审核报告中审减金额的2.5%支付。审减额在5%以内审减额奖励费用由建设单位承担，审减额在5%以外（不含5%）审减额奖励费用由施工单位承担，在工程结算时扣除。</w:t>
      </w:r>
    </w:p>
    <w:p w14:paraId="1534D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工程延期服务费：跟踪审计服务期限为下达工程开工令至365个日历天止，如遇特殊情况,适时顺延,延期服务费用按5000元/月支付给成交人。不足15个日历天不计算，超过15个日历天未满一个月按一个月计算。本次采用固定报价结算费用。</w:t>
      </w:r>
    </w:p>
    <w:p w14:paraId="7C41D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3、人员规定：</w:t>
      </w:r>
    </w:p>
    <w:p w14:paraId="3B7A10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(1)供应商在服务期内项目组成员不得随意调整变动，若确需更换，须提前书面告知采购人，并经采购人同意，方可更换。</w:t>
      </w:r>
    </w:p>
    <w:p w14:paraId="1C75FF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(2)供应商在本工程中配备的审计人员，应具有丰富的专业管理经验、身体健康、年龄适中、有良好职业道德。</w:t>
      </w:r>
    </w:p>
    <w:p w14:paraId="0D56CE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调整要求：项目组人员未经采购人同意不得擅自调换，因客观原因成交单位确需调换人员的，调换后人员不得低于响应时所报人员资质和技术水平，并经采购人同意。未经批准擅自调换的，若随意更换按5000 元∕人·次扣除考核经费，更换人员累计超过 2 人的，采购人有权上报监管部门处理。</w:t>
      </w:r>
    </w:p>
    <w:p w14:paraId="5CC687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(4)采购人结合成交单位工作人员的工作能力情况及工程需要，要求增加人员或对人员做出调整的，采购单位不得拒绝，需更换的人员必须在 3 日内予以更换。</w:t>
      </w:r>
    </w:p>
    <w:p w14:paraId="2B175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为本项目拟派的项目负责人职责：负责采购人委托审计项目的人员配备和安排；负责委托审计项目的审计质量保证；负责审计进度控制，按时完成委托审计项目任务；负责派出本项目人员的监督管理，对廉政建设负责；负责审计实施过程中问题协调、争议解决；参加采购人召开的审计项目业务会议及其他需要解决事宜。</w:t>
      </w:r>
    </w:p>
    <w:p w14:paraId="720B84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3AD325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、其他要求</w:t>
      </w:r>
    </w:p>
    <w:p w14:paraId="5D9D7C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响应人提供的证明材料须清晰的反映评审内容，如因材料模糊不清，导</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小组无法辨认的，</w:t>
      </w: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8786495</wp:posOffset>
                </wp:positionV>
                <wp:extent cx="576008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691.85pt;height:0.5pt;width:453.55pt;z-index:251660288;mso-width-relative:page;mso-height-relative:page;" fillcolor="#000000" filled="t" stroked="f" coordsize="9070,10" o:gfxdata="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7fUHTWAAAACgEAAA8AAAAAAAAAAQAgAAAA&#10;IgAAAGRycy9kb3ducmV2LnhtbFBLAQIUABQAAAAIAIdO4kAVnDsCDQIAAHkEAAAOAAAAAAAAAAEA&#10;IAAAACUBAABkcnMvZTJvRG9jLnhtbFBLBQYAAAAABgAGAFkBAACkBQAAAAA=&#10;" path="m0,0l9070,0,9070,9,0,9,0,0xe">
                <v:fill on="t" focussize="0,0"/>
                <v:stroke on="f"/>
                <v:imagedata o:title=""/>
                <o:lock v:ext="edit" aspectratio="f"/>
              </v:shape>
            </w:pict>
          </mc:Fallback>
        </mc:AlternateConten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小组可以不予认可，一切后果由响应人自行承担。</w:t>
      </w:r>
    </w:p>
    <w:p w14:paraId="787EF127">
      <w:pPr>
        <w:rPr>
          <w:rFonts w:hint="eastAsia" w:ascii="方正仿宋_GB2312" w:hAnsi="方正仿宋_GB2312" w:eastAsia="方正仿宋_GB2312" w:cs="方正仿宋_GB2312"/>
          <w:color w:val="auto"/>
          <w:sz w:val="28"/>
          <w:szCs w:val="36"/>
          <w:highlight w:val="none"/>
        </w:rPr>
        <w:sectPr>
          <w:headerReference r:id="rId3" w:type="default"/>
          <w:footerReference r:id="rId4" w:type="default"/>
          <w:pgSz w:w="11906" w:h="16839"/>
          <w:pgMar w:top="920" w:right="1365" w:bottom="839" w:left="1418" w:header="905" w:footer="677" w:gutter="0"/>
          <w:pgNumType w:fmt="decimal" w:start="1"/>
          <w:cols w:space="720" w:num="1"/>
        </w:sectPr>
      </w:pPr>
    </w:p>
    <w:p w14:paraId="7DE10FB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center"/>
        <w:rPr>
          <w:rStyle w:val="21"/>
          <w:rFonts w:hint="eastAsia" w:ascii="仿宋_GB2312" w:hAnsi="仿宋_GB2312" w:eastAsia="仿宋_GB2312" w:cs="仿宋_GB2312"/>
          <w:color w:val="auto"/>
          <w:spacing w:val="8"/>
          <w:sz w:val="31"/>
          <w:szCs w:val="31"/>
          <w:highlight w:val="none"/>
          <w:shd w:val="clear" w:color="auto" w:fill="FFFFFF"/>
          <w:lang w:val="en-US" w:eastAsia="zh-CN"/>
        </w:rPr>
      </w:pPr>
      <w:r>
        <w:rPr>
          <w:rStyle w:val="21"/>
          <w:rFonts w:hint="eastAsia" w:ascii="仿宋_GB2312" w:hAnsi="仿宋_GB2312" w:eastAsia="仿宋_GB2312" w:cs="仿宋_GB2312"/>
          <w:color w:val="auto"/>
          <w:spacing w:val="8"/>
          <w:sz w:val="31"/>
          <w:szCs w:val="31"/>
          <w:highlight w:val="none"/>
          <w:shd w:val="clear" w:color="auto" w:fill="FFFFFF"/>
          <w:lang w:val="en-US" w:eastAsia="zh-CN"/>
        </w:rPr>
        <w:t>一、评审方法</w:t>
      </w:r>
    </w:p>
    <w:tbl>
      <w:tblPr>
        <w:tblStyle w:val="18"/>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0"/>
        <w:gridCol w:w="1339"/>
        <w:gridCol w:w="7110"/>
      </w:tblGrid>
      <w:tr w14:paraId="4477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 w:hRule="atLeast"/>
          <w:tblHeader/>
          <w:jc w:val="center"/>
        </w:trPr>
        <w:tc>
          <w:tcPr>
            <w:tcW w:w="750" w:type="dxa"/>
            <w:noWrap w:val="0"/>
            <w:vAlign w:val="center"/>
          </w:tcPr>
          <w:p w14:paraId="1A95428A">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序号</w:t>
            </w:r>
          </w:p>
        </w:tc>
        <w:tc>
          <w:tcPr>
            <w:tcW w:w="1339" w:type="dxa"/>
            <w:noWrap w:val="0"/>
            <w:vAlign w:val="center"/>
          </w:tcPr>
          <w:p w14:paraId="5BD21E90">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项目</w:t>
            </w:r>
          </w:p>
        </w:tc>
        <w:tc>
          <w:tcPr>
            <w:tcW w:w="7110" w:type="dxa"/>
            <w:noWrap w:val="0"/>
            <w:vAlign w:val="center"/>
          </w:tcPr>
          <w:p w14:paraId="75FBBBF2">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内   容</w:t>
            </w:r>
          </w:p>
        </w:tc>
      </w:tr>
      <w:tr w14:paraId="7CCDB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750" w:type="dxa"/>
            <w:noWrap w:val="0"/>
            <w:vAlign w:val="center"/>
          </w:tcPr>
          <w:p w14:paraId="4C02F487">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1</w:t>
            </w:r>
          </w:p>
        </w:tc>
        <w:tc>
          <w:tcPr>
            <w:tcW w:w="1339" w:type="dxa"/>
            <w:noWrap w:val="0"/>
            <w:vAlign w:val="center"/>
          </w:tcPr>
          <w:p w14:paraId="4C41646F">
            <w:pPr>
              <w:keepNext w:val="0"/>
              <w:keepLines w:val="0"/>
              <w:suppressLineNumbers w:val="0"/>
              <w:snapToGrid w:val="0"/>
              <w:spacing w:before="0" w:beforeAutospacing="0" w:after="0" w:afterAutospacing="0"/>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小组的建立</w:t>
            </w:r>
          </w:p>
        </w:tc>
        <w:tc>
          <w:tcPr>
            <w:tcW w:w="7110" w:type="dxa"/>
            <w:noWrap w:val="0"/>
            <w:vAlign w:val="center"/>
          </w:tcPr>
          <w:p w14:paraId="3EC48BC5">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pacing w:val="8"/>
                <w:sz w:val="24"/>
                <w:highlight w:val="none"/>
                <w:lang w:val="en-US" w:eastAsia="zh-CN"/>
              </w:rPr>
              <w:t>评审</w:t>
            </w:r>
            <w:r>
              <w:rPr>
                <w:rFonts w:hint="eastAsia" w:ascii="宋体" w:hAnsi="宋体" w:cs="宋体"/>
                <w:color w:val="auto"/>
                <w:spacing w:val="8"/>
                <w:sz w:val="24"/>
                <w:highlight w:val="none"/>
              </w:rPr>
              <w:t>小组</w:t>
            </w:r>
            <w:r>
              <w:rPr>
                <w:rFonts w:hint="eastAsia" w:ascii="宋体" w:hAnsi="宋体" w:cs="宋体"/>
                <w:color w:val="auto"/>
                <w:spacing w:val="8"/>
                <w:sz w:val="24"/>
                <w:highlight w:val="none"/>
                <w:lang w:val="en-US" w:eastAsia="zh-CN"/>
              </w:rPr>
              <w:t>依法</w:t>
            </w:r>
            <w:r>
              <w:rPr>
                <w:rFonts w:hint="eastAsia" w:ascii="宋体" w:hAnsi="宋体" w:cs="宋体"/>
                <w:color w:val="auto"/>
                <w:spacing w:val="8"/>
                <w:sz w:val="24"/>
                <w:highlight w:val="none"/>
              </w:rPr>
              <w:t>组建</w:t>
            </w:r>
            <w:r>
              <w:rPr>
                <w:rFonts w:hint="eastAsia" w:ascii="宋体" w:hAnsi="宋体" w:cs="宋体"/>
                <w:bCs/>
                <w:color w:val="auto"/>
                <w:spacing w:val="8"/>
                <w:sz w:val="24"/>
                <w:highlight w:val="none"/>
              </w:rPr>
              <w:t>，</w:t>
            </w:r>
            <w:r>
              <w:rPr>
                <w:rFonts w:hint="eastAsia" w:ascii="宋体" w:hAnsi="宋体" w:cs="宋体"/>
                <w:color w:val="auto"/>
                <w:spacing w:val="8"/>
                <w:sz w:val="24"/>
                <w:highlight w:val="none"/>
              </w:rPr>
              <w:t>由3名或以上单数成员组成</w:t>
            </w:r>
            <w:r>
              <w:rPr>
                <w:rFonts w:hint="eastAsia" w:ascii="宋体" w:hAnsi="宋体" w:cs="宋体"/>
                <w:color w:val="auto"/>
                <w:spacing w:val="8"/>
                <w:sz w:val="24"/>
                <w:highlight w:val="none"/>
                <w:lang w:eastAsia="zh-CN"/>
              </w:rPr>
              <w:t>。</w:t>
            </w:r>
          </w:p>
        </w:tc>
      </w:tr>
      <w:tr w14:paraId="79076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9" w:hRule="atLeast"/>
          <w:jc w:val="center"/>
        </w:trPr>
        <w:tc>
          <w:tcPr>
            <w:tcW w:w="750" w:type="dxa"/>
            <w:noWrap w:val="0"/>
            <w:vAlign w:val="center"/>
          </w:tcPr>
          <w:p w14:paraId="5243E550">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2</w:t>
            </w:r>
          </w:p>
        </w:tc>
        <w:tc>
          <w:tcPr>
            <w:tcW w:w="1339" w:type="dxa"/>
            <w:noWrap w:val="0"/>
            <w:vAlign w:val="center"/>
          </w:tcPr>
          <w:p w14:paraId="3388E105">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评审流程</w:t>
            </w:r>
          </w:p>
        </w:tc>
        <w:tc>
          <w:tcPr>
            <w:tcW w:w="7110" w:type="dxa"/>
            <w:noWrap w:val="0"/>
            <w:vAlign w:val="center"/>
          </w:tcPr>
          <w:p w14:paraId="4DFE1DC8">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小组先开启资格审查部分进行评审，资格审查部分审查通过后（三家以上通过审查含三家）开启技术部分进行评审，技术部分评审结束后开启商务部分进行评审；依据公平、公正原则，评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小组应全面、充分地审阅</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文件，进行评审和比较，采用“综合评分法”得出评价结论。完成评标后，评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小组应按照投标人综合得分由高到低排序提出书面评标报告，并由评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小组全体成员签字。</w:t>
            </w:r>
          </w:p>
          <w:p w14:paraId="452BA08C">
            <w:pPr>
              <w:keepNext w:val="0"/>
              <w:keepLines w:val="0"/>
              <w:suppressLineNumbers w:val="0"/>
              <w:spacing w:before="0" w:beforeAutospacing="0" w:after="0" w:afterAutospacing="0" w:line="336"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文件进行资格评审，通过资格评审的报价为有效报价，未完全响应</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文件的投标人按报价无效处理</w:t>
            </w:r>
            <w:r>
              <w:rPr>
                <w:rFonts w:hint="eastAsia" w:ascii="宋体" w:hAnsi="宋体" w:cs="宋体"/>
                <w:color w:val="auto"/>
                <w:sz w:val="24"/>
                <w:highlight w:val="none"/>
                <w:lang w:eastAsia="zh-CN"/>
              </w:rPr>
              <w:t>。</w:t>
            </w:r>
          </w:p>
          <w:p w14:paraId="5D65BA28">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3.本次评审实行百分制，资格评审完成后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小组按综合得分由高到低进行排序，选出</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最高的投标人作为中</w:t>
            </w:r>
            <w:r>
              <w:rPr>
                <w:rFonts w:hint="eastAsia" w:ascii="宋体" w:hAnsi="宋体" w:cs="宋体"/>
                <w:color w:val="auto"/>
                <w:sz w:val="24"/>
                <w:highlight w:val="none"/>
                <w:lang w:val="en-US" w:eastAsia="zh-CN"/>
              </w:rPr>
              <w:t>标候选</w:t>
            </w:r>
            <w:r>
              <w:rPr>
                <w:rFonts w:hint="eastAsia" w:ascii="宋体" w:hAnsi="宋体" w:cs="宋体"/>
                <w:color w:val="auto"/>
                <w:sz w:val="24"/>
                <w:highlight w:val="none"/>
              </w:rPr>
              <w:t>人。如出现两家及以上得分相同，则由招标人现场抽签决定预中标人。</w:t>
            </w:r>
          </w:p>
        </w:tc>
      </w:tr>
      <w:tr w14:paraId="500B7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50" w:type="dxa"/>
            <w:noWrap w:val="0"/>
            <w:vAlign w:val="center"/>
          </w:tcPr>
          <w:p w14:paraId="27E90308">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3</w:t>
            </w:r>
          </w:p>
        </w:tc>
        <w:tc>
          <w:tcPr>
            <w:tcW w:w="1339" w:type="dxa"/>
            <w:noWrap w:val="0"/>
            <w:vAlign w:val="center"/>
          </w:tcPr>
          <w:p w14:paraId="4CE08ED2">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资格评审</w:t>
            </w:r>
          </w:p>
        </w:tc>
        <w:tc>
          <w:tcPr>
            <w:tcW w:w="7110" w:type="dxa"/>
            <w:noWrap w:val="0"/>
            <w:vAlign w:val="center"/>
          </w:tcPr>
          <w:p w14:paraId="4209C96D">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1.提供的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文件是否完整；</w:t>
            </w:r>
          </w:p>
          <w:p w14:paraId="19B7F37B">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人是否按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文件要求提供资格证明文件；</w:t>
            </w:r>
          </w:p>
          <w:p w14:paraId="6C3E6D83">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文件的要求密封；</w:t>
            </w:r>
          </w:p>
          <w:p w14:paraId="76F8825A">
            <w:pPr>
              <w:keepNext w:val="0"/>
              <w:keepLines w:val="0"/>
              <w:suppressLineNumbers w:val="0"/>
              <w:spacing w:before="0" w:beforeAutospacing="0" w:after="0" w:afterAutospacing="0" w:line="336"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文件的规定签署</w:t>
            </w:r>
            <w:r>
              <w:rPr>
                <w:rFonts w:hint="eastAsia" w:ascii="宋体" w:hAnsi="宋体" w:cs="宋体"/>
                <w:color w:val="auto"/>
                <w:sz w:val="24"/>
                <w:highlight w:val="none"/>
                <w:lang w:eastAsia="zh-CN"/>
              </w:rPr>
              <w:t>。</w:t>
            </w:r>
          </w:p>
        </w:tc>
      </w:tr>
      <w:tr w14:paraId="03E1A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atLeast"/>
          <w:jc w:val="center"/>
        </w:trPr>
        <w:tc>
          <w:tcPr>
            <w:tcW w:w="750" w:type="dxa"/>
            <w:noWrap w:val="0"/>
            <w:vAlign w:val="center"/>
          </w:tcPr>
          <w:p w14:paraId="0C10876B">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4</w:t>
            </w:r>
          </w:p>
        </w:tc>
        <w:tc>
          <w:tcPr>
            <w:tcW w:w="1339" w:type="dxa"/>
            <w:noWrap w:val="0"/>
            <w:vAlign w:val="center"/>
          </w:tcPr>
          <w:p w14:paraId="573BA6E0">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pacing w:val="8"/>
                <w:sz w:val="24"/>
                <w:highlight w:val="none"/>
              </w:rPr>
            </w:pPr>
            <w:r>
              <w:rPr>
                <w:rFonts w:hint="eastAsia" w:ascii="宋体" w:hAnsi="宋体" w:cs="宋体"/>
                <w:color w:val="auto"/>
                <w:spacing w:val="8"/>
                <w:sz w:val="24"/>
                <w:highlight w:val="none"/>
              </w:rPr>
              <w:t>视为无效响应文件</w:t>
            </w:r>
          </w:p>
        </w:tc>
        <w:tc>
          <w:tcPr>
            <w:tcW w:w="7110" w:type="dxa"/>
            <w:noWrap w:val="0"/>
            <w:vAlign w:val="center"/>
          </w:tcPr>
          <w:p w14:paraId="7B5FE07E">
            <w:pPr>
              <w:keepNext w:val="0"/>
              <w:keepLines w:val="0"/>
              <w:suppressLineNumbers w:val="0"/>
              <w:snapToGrid w:val="0"/>
              <w:spacing w:before="0" w:beforeAutospacing="0" w:after="0" w:afterAutospacing="0" w:line="336" w:lineRule="auto"/>
              <w:ind w:left="0" w:right="0"/>
              <w:jc w:val="left"/>
              <w:rPr>
                <w:rFonts w:hint="default" w:ascii="宋体" w:hAnsi="宋体" w:cs="宋体"/>
                <w:b/>
                <w:bCs/>
                <w:color w:val="auto"/>
                <w:spacing w:val="8"/>
                <w:sz w:val="24"/>
                <w:highlight w:val="none"/>
              </w:rPr>
            </w:pPr>
            <w:r>
              <w:rPr>
                <w:rFonts w:hint="eastAsia" w:ascii="宋体" w:hAnsi="宋体" w:cs="宋体"/>
                <w:bCs/>
                <w:color w:val="auto"/>
                <w:spacing w:val="8"/>
                <w:sz w:val="24"/>
                <w:highlight w:val="none"/>
              </w:rPr>
              <w:t>1.报价超过</w:t>
            </w:r>
            <w:r>
              <w:rPr>
                <w:rFonts w:hint="eastAsia" w:ascii="宋体" w:hAnsi="宋体" w:cs="宋体"/>
                <w:color w:val="auto"/>
                <w:spacing w:val="8"/>
                <w:sz w:val="24"/>
                <w:highlight w:val="none"/>
              </w:rPr>
              <w:t>最高限价；</w:t>
            </w:r>
          </w:p>
          <w:p w14:paraId="3488DD3C">
            <w:pPr>
              <w:keepNext w:val="0"/>
              <w:keepLines w:val="0"/>
              <w:suppressLineNumbers w:val="0"/>
              <w:adjustRightInd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rPr>
              <w:t>2.资格评审未通过的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w:t>
            </w:r>
          </w:p>
          <w:p w14:paraId="13E8013D">
            <w:pPr>
              <w:keepNext w:val="0"/>
              <w:keepLines w:val="0"/>
              <w:suppressLineNumbers w:val="0"/>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3</w:t>
            </w:r>
            <w:r>
              <w:rPr>
                <w:rFonts w:hint="eastAsia" w:ascii="宋体" w:hAnsi="宋体" w:cs="宋体"/>
                <w:bCs/>
                <w:color w:val="auto"/>
                <w:spacing w:val="8"/>
                <w:sz w:val="24"/>
                <w:highlight w:val="none"/>
              </w:rPr>
              <w:t>.不同投标人的</w:t>
            </w:r>
            <w:r>
              <w:rPr>
                <w:rFonts w:hint="eastAsia" w:ascii="宋体" w:hAnsi="宋体" w:cs="宋体"/>
                <w:bCs/>
                <w:color w:val="auto"/>
                <w:spacing w:val="8"/>
                <w:sz w:val="24"/>
                <w:highlight w:val="none"/>
                <w:lang w:val="en-US" w:eastAsia="zh-CN"/>
              </w:rPr>
              <w:t>投标</w:t>
            </w:r>
            <w:r>
              <w:rPr>
                <w:rFonts w:hint="eastAsia" w:ascii="宋体" w:hAnsi="宋体" w:cs="宋体"/>
                <w:bCs/>
                <w:color w:val="auto"/>
                <w:spacing w:val="8"/>
                <w:sz w:val="24"/>
                <w:highlight w:val="none"/>
              </w:rPr>
              <w:t>文件载明的项目管理成员为同一人；</w:t>
            </w:r>
          </w:p>
          <w:p w14:paraId="492ADEE4">
            <w:pPr>
              <w:keepNext w:val="0"/>
              <w:keepLines w:val="0"/>
              <w:suppressLineNumbers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4</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报价</w:t>
            </w:r>
            <w:r>
              <w:rPr>
                <w:rFonts w:hint="eastAsia" w:ascii="宋体" w:hAnsi="宋体" w:cs="宋体"/>
                <w:bCs/>
                <w:color w:val="auto"/>
                <w:spacing w:val="8"/>
                <w:sz w:val="24"/>
                <w:highlight w:val="none"/>
              </w:rPr>
              <w:t>人的</w:t>
            </w:r>
            <w:r>
              <w:rPr>
                <w:rFonts w:hint="eastAsia" w:ascii="宋体" w:hAnsi="宋体" w:cs="宋体"/>
                <w:color w:val="auto"/>
                <w:sz w:val="24"/>
                <w:highlight w:val="none"/>
                <w:lang w:val="en-US" w:eastAsia="zh-CN"/>
              </w:rPr>
              <w:t>响应</w:t>
            </w:r>
            <w:r>
              <w:rPr>
                <w:rFonts w:hint="eastAsia" w:ascii="宋体" w:hAnsi="宋体" w:cs="宋体"/>
                <w:bCs/>
                <w:color w:val="auto"/>
                <w:spacing w:val="8"/>
                <w:sz w:val="24"/>
                <w:highlight w:val="none"/>
              </w:rPr>
              <w:t>文件相互混装；</w:t>
            </w:r>
          </w:p>
          <w:p w14:paraId="71A2C30B">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5</w:t>
            </w:r>
            <w:r>
              <w:rPr>
                <w:rFonts w:hint="eastAsia" w:ascii="宋体" w:hAnsi="宋体" w:cs="宋体"/>
                <w:bCs/>
                <w:color w:val="auto"/>
                <w:spacing w:val="8"/>
                <w:sz w:val="24"/>
                <w:highlight w:val="none"/>
              </w:rPr>
              <w:t>.使用伪造、变造的许可证件；</w:t>
            </w:r>
          </w:p>
          <w:p w14:paraId="2F8C84AB">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6</w:t>
            </w:r>
            <w:r>
              <w:rPr>
                <w:rFonts w:hint="eastAsia" w:ascii="宋体" w:hAnsi="宋体" w:cs="宋体"/>
                <w:bCs/>
                <w:color w:val="auto"/>
                <w:spacing w:val="8"/>
                <w:sz w:val="24"/>
                <w:highlight w:val="none"/>
              </w:rPr>
              <w:t>.提供虚假的资质证照；</w:t>
            </w:r>
          </w:p>
          <w:p w14:paraId="74654DCF">
            <w:pPr>
              <w:keepNext w:val="0"/>
              <w:keepLines w:val="0"/>
              <w:suppressLineNumbers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7</w:t>
            </w:r>
            <w:r>
              <w:rPr>
                <w:rFonts w:hint="eastAsia" w:ascii="宋体" w:hAnsi="宋体" w:cs="宋体"/>
                <w:bCs/>
                <w:color w:val="auto"/>
                <w:spacing w:val="8"/>
                <w:sz w:val="24"/>
                <w:highlight w:val="none"/>
              </w:rPr>
              <w:t>.提供虚假的信用状况；</w:t>
            </w:r>
          </w:p>
          <w:p w14:paraId="75DCD127">
            <w:pPr>
              <w:keepNext w:val="0"/>
              <w:keepLines w:val="0"/>
              <w:suppressLineNumbers w:val="0"/>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8</w:t>
            </w:r>
            <w:r>
              <w:rPr>
                <w:rFonts w:hint="eastAsia" w:ascii="宋体" w:hAnsi="宋体" w:cs="宋体"/>
                <w:bCs/>
                <w:color w:val="auto"/>
                <w:spacing w:val="8"/>
                <w:sz w:val="24"/>
                <w:highlight w:val="none"/>
              </w:rPr>
              <w:t>.提供虚假业绩；</w:t>
            </w:r>
          </w:p>
          <w:p w14:paraId="4AE7984E">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9</w:t>
            </w:r>
            <w:r>
              <w:rPr>
                <w:rFonts w:hint="eastAsia" w:ascii="宋体" w:hAnsi="宋体" w:cs="宋体"/>
                <w:bCs/>
                <w:color w:val="auto"/>
                <w:spacing w:val="8"/>
                <w:sz w:val="24"/>
                <w:highlight w:val="none"/>
              </w:rPr>
              <w:t>.其他弄虚作假的行为。</w:t>
            </w:r>
          </w:p>
        </w:tc>
      </w:tr>
    </w:tbl>
    <w:p w14:paraId="5A5222B9">
      <w:pPr>
        <w:spacing w:before="120" w:beforeLines="50" w:after="120" w:afterLines="50" w:line="500" w:lineRule="exact"/>
        <w:ind w:firstLine="3534" w:firstLineChars="1100"/>
        <w:jc w:val="both"/>
        <w:rPr>
          <w:rFonts w:ascii="Times New Roman" w:hAnsi="Times New Roman" w:eastAsia="宋体" w:cs="Times New Roman"/>
          <w:b/>
          <w:bCs/>
          <w:color w:val="auto"/>
          <w:sz w:val="32"/>
          <w:szCs w:val="32"/>
          <w:highlight w:val="none"/>
        </w:rPr>
      </w:pPr>
    </w:p>
    <w:p w14:paraId="42F4A651">
      <w:pPr>
        <w:spacing w:before="120" w:beforeLines="50" w:after="120" w:afterLines="50" w:line="500" w:lineRule="exact"/>
        <w:ind w:firstLine="3855" w:firstLineChars="1200"/>
        <w:jc w:val="both"/>
        <w:rPr>
          <w:b/>
          <w:bCs/>
          <w:color w:val="auto"/>
          <w:sz w:val="32"/>
          <w:szCs w:val="32"/>
          <w:highlight w:val="none"/>
        </w:rPr>
      </w:pPr>
      <w:r>
        <w:rPr>
          <w:rFonts w:ascii="Times New Roman" w:hAnsi="Times New Roman" w:eastAsia="宋体" w:cs="Times New Roman"/>
          <w:b/>
          <w:bCs/>
          <w:color w:val="auto"/>
          <w:sz w:val="32"/>
          <w:szCs w:val="32"/>
          <w:highlight w:val="none"/>
        </w:rPr>
        <w:t>评分标</w:t>
      </w:r>
      <w:r>
        <w:rPr>
          <w:b/>
          <w:bCs/>
          <w:color w:val="auto"/>
          <w:sz w:val="32"/>
          <w:szCs w:val="32"/>
          <w:highlight w:val="none"/>
        </w:rPr>
        <w:t>准</w:t>
      </w:r>
    </w:p>
    <w:tbl>
      <w:tblPr>
        <w:tblStyle w:val="27"/>
        <w:tblW w:w="96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1842"/>
        <w:gridCol w:w="5594"/>
        <w:gridCol w:w="1195"/>
      </w:tblGrid>
      <w:tr w14:paraId="32CF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0" w:type="dxa"/>
            <w:vAlign w:val="center"/>
          </w:tcPr>
          <w:p w14:paraId="2C9A9D46">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rPr>
              <w:t>类别</w:t>
            </w:r>
          </w:p>
        </w:tc>
        <w:tc>
          <w:tcPr>
            <w:tcW w:w="1842" w:type="dxa"/>
            <w:vAlign w:val="center"/>
          </w:tcPr>
          <w:p w14:paraId="656B427F">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rPr>
              <w:t>评分内容</w:t>
            </w:r>
          </w:p>
        </w:tc>
        <w:tc>
          <w:tcPr>
            <w:tcW w:w="5594" w:type="dxa"/>
            <w:vAlign w:val="center"/>
          </w:tcPr>
          <w:p w14:paraId="1A804845">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rPr>
              <w:t>评分标准</w:t>
            </w:r>
          </w:p>
        </w:tc>
        <w:tc>
          <w:tcPr>
            <w:tcW w:w="1195" w:type="dxa"/>
            <w:vAlign w:val="center"/>
          </w:tcPr>
          <w:p w14:paraId="76B03484">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rPr>
              <w:t>分值范围</w:t>
            </w:r>
          </w:p>
        </w:tc>
      </w:tr>
      <w:tr w14:paraId="005F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0" w:type="dxa"/>
            <w:vMerge w:val="restart"/>
            <w:vAlign w:val="center"/>
          </w:tcPr>
          <w:p w14:paraId="0CE402CF">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技术分 100分</w:t>
            </w:r>
          </w:p>
        </w:tc>
        <w:tc>
          <w:tcPr>
            <w:tcW w:w="1842" w:type="dxa"/>
            <w:vAlign w:val="center"/>
          </w:tcPr>
          <w:p w14:paraId="4F920C39">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服务方案内容的全面性</w:t>
            </w:r>
          </w:p>
        </w:tc>
        <w:tc>
          <w:tcPr>
            <w:tcW w:w="5594" w:type="dxa"/>
            <w:vAlign w:val="top"/>
          </w:tcPr>
          <w:p w14:paraId="3E6DFD1A">
            <w:pPr>
              <w:keepNext w:val="0"/>
              <w:keepLines w:val="0"/>
              <w:pageBreakBefore w:val="0"/>
              <w:widowControl/>
              <w:kinsoku/>
              <w:wordWrap/>
              <w:overflowPunct/>
              <w:topLinePunct w:val="0"/>
              <w:autoSpaceDE w:val="0"/>
              <w:autoSpaceDN w:val="0"/>
              <w:bidi w:val="0"/>
              <w:adjustRightInd w:val="0"/>
              <w:snapToGrid w:val="0"/>
              <w:spacing w:before="32" w:line="360" w:lineRule="auto"/>
              <w:ind w:right="2" w:firstLine="508" w:firstLineChars="200"/>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由</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小组根据供应商针对项 目特点提供的跟踪审计服务方案工作内容是否全面、工作方法和实施程序是否合理进行评审：</w:t>
            </w:r>
          </w:p>
          <w:p w14:paraId="7E9C4FB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(1)方案完整详细，可行性、实用性、针对性强，得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5468E539">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(2)方案具有可行性、实用性和针对性，得</w:t>
            </w:r>
            <w:r>
              <w:rPr>
                <w:rFonts w:hint="eastAsia" w:asciiTheme="minorEastAsia" w:hAnsiTheme="minorEastAsia" w:eastAsiaTheme="minorEastAsia" w:cstheme="minorEastAsia"/>
                <w:color w:val="auto"/>
                <w:spacing w:val="7"/>
                <w:sz w:val="24"/>
                <w:szCs w:val="24"/>
                <w:highlight w:val="none"/>
                <w:lang w:val="en-US" w:eastAsia="zh-CN"/>
              </w:rPr>
              <w:t>8</w:t>
            </w:r>
            <w:r>
              <w:rPr>
                <w:rFonts w:hint="eastAsia" w:asciiTheme="minorEastAsia" w:hAnsiTheme="minorEastAsia" w:eastAsiaTheme="minorEastAsia" w:cstheme="minorEastAsia"/>
                <w:color w:val="auto"/>
                <w:spacing w:val="7"/>
                <w:sz w:val="24"/>
                <w:szCs w:val="24"/>
                <w:highlight w:val="none"/>
              </w:rPr>
              <w:t>分；</w:t>
            </w:r>
          </w:p>
          <w:p w14:paraId="73B245D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(3)方案内容有缺失</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可行性、实用性和针对性有待改善，得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231C50E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(4)方案不可行或未提供不得分。</w:t>
            </w:r>
          </w:p>
        </w:tc>
        <w:tc>
          <w:tcPr>
            <w:tcW w:w="1195" w:type="dxa"/>
            <w:vAlign w:val="center"/>
          </w:tcPr>
          <w:p w14:paraId="6031CBBC">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tc>
      </w:tr>
      <w:tr w14:paraId="77BD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0" w:type="dxa"/>
            <w:vMerge w:val="continue"/>
            <w:vAlign w:val="top"/>
          </w:tcPr>
          <w:p w14:paraId="6BC1343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center"/>
          </w:tcPr>
          <w:p w14:paraId="3F8F8290">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审计程序及方法</w:t>
            </w:r>
          </w:p>
        </w:tc>
        <w:tc>
          <w:tcPr>
            <w:tcW w:w="5594" w:type="dxa"/>
            <w:vAlign w:val="top"/>
          </w:tcPr>
          <w:p w14:paraId="4BC4328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由</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小组根据供应商为完成本项目制定合适的审计程序及方法进行评审：</w:t>
            </w:r>
          </w:p>
          <w:p w14:paraId="62880CF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(1)方案完整详细，可行性、实用性、针对性强，得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04352DC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(2)方案具有可行性、实用性和针对性，得</w:t>
            </w:r>
            <w:r>
              <w:rPr>
                <w:rFonts w:hint="eastAsia" w:asciiTheme="minorEastAsia" w:hAnsiTheme="minorEastAsia" w:eastAsiaTheme="minorEastAsia" w:cstheme="minorEastAsia"/>
                <w:color w:val="auto"/>
                <w:spacing w:val="7"/>
                <w:sz w:val="24"/>
                <w:szCs w:val="24"/>
                <w:highlight w:val="none"/>
                <w:lang w:val="en-US" w:eastAsia="zh-CN"/>
              </w:rPr>
              <w:t>8</w:t>
            </w:r>
            <w:r>
              <w:rPr>
                <w:rFonts w:hint="eastAsia" w:asciiTheme="minorEastAsia" w:hAnsiTheme="minorEastAsia" w:eastAsiaTheme="minorEastAsia" w:cstheme="minorEastAsia"/>
                <w:color w:val="auto"/>
                <w:spacing w:val="7"/>
                <w:sz w:val="24"/>
                <w:szCs w:val="24"/>
                <w:highlight w:val="none"/>
              </w:rPr>
              <w:t>分；</w:t>
            </w:r>
          </w:p>
          <w:p w14:paraId="2DB751B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(3)方案内容有缺失</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可行性、实用性和针对性有待改善，得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5FFE112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(4)方案不可行或未提供不得分。</w:t>
            </w:r>
          </w:p>
        </w:tc>
        <w:tc>
          <w:tcPr>
            <w:tcW w:w="1195" w:type="dxa"/>
            <w:vAlign w:val="center"/>
          </w:tcPr>
          <w:p w14:paraId="5A2A4393">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tc>
      </w:tr>
      <w:tr w14:paraId="129A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0" w:type="dxa"/>
            <w:vMerge w:val="continue"/>
            <w:vAlign w:val="top"/>
          </w:tcPr>
          <w:p w14:paraId="56E7FA9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center"/>
          </w:tcPr>
          <w:p w14:paraId="134A3B7A">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结算审核方案</w:t>
            </w:r>
          </w:p>
        </w:tc>
        <w:tc>
          <w:tcPr>
            <w:tcW w:w="5594" w:type="dxa"/>
            <w:vAlign w:val="top"/>
          </w:tcPr>
          <w:p w14:paraId="07067D4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 xml:space="preserve">方法合理，程序规范，服务高效，成果优秀。以下方案缺项 2 个以上的本项得 0 分。 </w:t>
            </w:r>
          </w:p>
          <w:p w14:paraId="0E25BEF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 xml:space="preserve">①结算审计的组织安排、方法选择、工作流程 </w:t>
            </w:r>
          </w:p>
          <w:p w14:paraId="4E7A7E56">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lang w:val="en-US" w:eastAsia="zh-CN"/>
              </w:rPr>
              <w:t xml:space="preserve">分； </w:t>
            </w:r>
          </w:p>
          <w:p w14:paraId="055154D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②结算审计服务的主动性、高效性</w:t>
            </w:r>
            <w:r>
              <w:rPr>
                <w:rFonts w:hint="eastAsia" w:asciiTheme="minorEastAsia" w:hAnsi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lang w:val="en-US" w:eastAsia="zh-CN"/>
              </w:rPr>
              <w:t xml:space="preserve">分； </w:t>
            </w:r>
          </w:p>
          <w:p w14:paraId="7638BF2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③提供项目结算独立管理系统、方法</w:t>
            </w:r>
            <w:r>
              <w:rPr>
                <w:rFonts w:hint="eastAsia" w:asciiTheme="minorEastAsia" w:hAnsi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lang w:val="en-US" w:eastAsia="zh-CN"/>
              </w:rPr>
              <w:t xml:space="preserve">分 ； </w:t>
            </w:r>
          </w:p>
          <w:p w14:paraId="79645BD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④结算审计报告时间保证措施</w:t>
            </w:r>
            <w:r>
              <w:rPr>
                <w:rFonts w:hint="eastAsia" w:asciiTheme="minorEastAsia" w:hAnsi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lang w:val="en-US" w:eastAsia="zh-CN"/>
              </w:rPr>
              <w:t xml:space="preserve">分。 </w:t>
            </w:r>
          </w:p>
          <w:p w14:paraId="1589BBB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⑤结算审计报告质量保证措施</w:t>
            </w:r>
            <w:r>
              <w:rPr>
                <w:rFonts w:hint="eastAsia" w:asciiTheme="minorEastAsia" w:hAnsi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lang w:val="en-US" w:eastAsia="zh-CN"/>
              </w:rPr>
              <w:t>分。</w:t>
            </w:r>
          </w:p>
        </w:tc>
        <w:tc>
          <w:tcPr>
            <w:tcW w:w="1195" w:type="dxa"/>
            <w:vAlign w:val="center"/>
          </w:tcPr>
          <w:p w14:paraId="6E995931">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default" w:asciiTheme="minorEastAsia" w:hAnsiTheme="minorEastAsia" w:eastAsiaTheme="minorEastAsia" w:cstheme="minorEastAsia"/>
                <w:color w:val="auto"/>
                <w:spacing w:val="7"/>
                <w:sz w:val="24"/>
                <w:szCs w:val="24"/>
                <w:highlight w:val="none"/>
                <w:lang w:val="en-US" w:eastAsia="zh-CN"/>
              </w:rPr>
            </w:pPr>
            <w:r>
              <w:rPr>
                <w:rFonts w:hint="eastAsia" w:asciiTheme="minorEastAsia" w:hAnsiTheme="minorEastAsia" w:cstheme="minorEastAsia"/>
                <w:color w:val="auto"/>
                <w:spacing w:val="7"/>
                <w:sz w:val="24"/>
                <w:szCs w:val="24"/>
                <w:highlight w:val="none"/>
                <w:lang w:val="en-US" w:eastAsia="zh-CN"/>
              </w:rPr>
              <w:t>10分</w:t>
            </w:r>
          </w:p>
        </w:tc>
      </w:tr>
      <w:tr w14:paraId="656DA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0" w:type="dxa"/>
            <w:vMerge w:val="continue"/>
            <w:vAlign w:val="top"/>
          </w:tcPr>
          <w:p w14:paraId="786A110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top"/>
          </w:tcPr>
          <w:p w14:paraId="7AD37BC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2F23FF9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F9FA77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7463AC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B950B6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业绩</w:t>
            </w:r>
          </w:p>
        </w:tc>
        <w:tc>
          <w:tcPr>
            <w:tcW w:w="5594" w:type="dxa"/>
            <w:vAlign w:val="top"/>
          </w:tcPr>
          <w:p w14:paraId="41FA497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供应商业绩：</w:t>
            </w:r>
          </w:p>
          <w:p w14:paraId="69B582FC">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1、自2021年1月1日以来（以合同签订时间为准）具有</w:t>
            </w:r>
            <w:r>
              <w:rPr>
                <w:rFonts w:hint="eastAsia" w:asciiTheme="minorEastAsia" w:hAnsiTheme="minorEastAsia" w:eastAsiaTheme="minorEastAsia" w:cstheme="minorEastAsia"/>
                <w:color w:val="auto"/>
                <w:spacing w:val="7"/>
                <w:sz w:val="24"/>
                <w:szCs w:val="24"/>
                <w:highlight w:val="none"/>
                <w:lang w:val="en-US" w:eastAsia="zh-CN"/>
              </w:rPr>
              <w:t>投资额≥5000万元的</w:t>
            </w:r>
            <w:r>
              <w:rPr>
                <w:rFonts w:hint="eastAsia" w:asciiTheme="minorEastAsia" w:hAnsiTheme="minorEastAsia" w:eastAsiaTheme="minorEastAsia" w:cstheme="minorEastAsia"/>
                <w:color w:val="auto"/>
                <w:spacing w:val="7"/>
                <w:sz w:val="24"/>
                <w:szCs w:val="24"/>
                <w:highlight w:val="none"/>
              </w:rPr>
              <w:t xml:space="preserve">跟踪审计服务业绩，每提供一项业绩得 </w:t>
            </w:r>
            <w:r>
              <w:rPr>
                <w:rFonts w:hint="eastAsia" w:asciiTheme="minorEastAsia" w:hAnsiTheme="minorEastAsia" w:eastAsiaTheme="minorEastAsia" w:cstheme="minorEastAsia"/>
                <w:color w:val="auto"/>
                <w:spacing w:val="7"/>
                <w:sz w:val="24"/>
                <w:szCs w:val="24"/>
                <w:highlight w:val="none"/>
                <w:lang w:val="en-US" w:eastAsia="zh-CN"/>
              </w:rPr>
              <w:t>1</w:t>
            </w:r>
            <w:r>
              <w:rPr>
                <w:rFonts w:hint="eastAsia" w:asciiTheme="minorEastAsia" w:hAnsiTheme="minorEastAsia" w:cstheme="minorEastAsia"/>
                <w:color w:val="auto"/>
                <w:spacing w:val="7"/>
                <w:sz w:val="24"/>
                <w:szCs w:val="24"/>
                <w:highlight w:val="none"/>
                <w:lang w:val="en-US" w:eastAsia="zh-CN"/>
              </w:rPr>
              <w:t>0</w:t>
            </w:r>
            <w:r>
              <w:rPr>
                <w:rFonts w:hint="eastAsia" w:asciiTheme="minorEastAsia" w:hAnsiTheme="minorEastAsia" w:eastAsiaTheme="minorEastAsia" w:cstheme="minorEastAsia"/>
                <w:color w:val="auto"/>
                <w:spacing w:val="7"/>
                <w:sz w:val="24"/>
                <w:szCs w:val="24"/>
                <w:highlight w:val="none"/>
              </w:rPr>
              <w:t xml:space="preserve"> 分，满分</w:t>
            </w:r>
            <w:r>
              <w:rPr>
                <w:rFonts w:hint="eastAsia" w:asciiTheme="minorEastAsia" w:hAnsi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7B9A7C4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default" w:asciiTheme="minorEastAsia" w:hAnsiTheme="minorEastAsia" w:eastAsiaTheme="minorEastAsia" w:cstheme="minorEastAsia"/>
                <w:color w:val="auto"/>
                <w:spacing w:val="7"/>
                <w:sz w:val="24"/>
                <w:szCs w:val="24"/>
                <w:highlight w:val="none"/>
                <w:lang w:val="en-US" w:eastAsia="zh-CN"/>
              </w:rPr>
            </w:pPr>
            <w:r>
              <w:rPr>
                <w:rFonts w:hint="eastAsia" w:asciiTheme="minorEastAsia" w:hAnsiTheme="minorEastAsia" w:eastAsiaTheme="minorEastAsia" w:cstheme="minorEastAsia"/>
                <w:color w:val="auto"/>
                <w:spacing w:val="7"/>
                <w:sz w:val="24"/>
                <w:szCs w:val="24"/>
                <w:highlight w:val="none"/>
                <w:lang w:val="en-US" w:eastAsia="zh-CN"/>
              </w:rPr>
              <w:t>2、自2021年1月1日以来（以合同签订时间为准）具有</w:t>
            </w:r>
            <w:r>
              <w:rPr>
                <w:rFonts w:hint="eastAsia" w:asciiTheme="minorEastAsia" w:hAnsiTheme="minorEastAsia" w:cstheme="minorEastAsia"/>
                <w:color w:val="auto"/>
                <w:spacing w:val="7"/>
                <w:sz w:val="24"/>
                <w:szCs w:val="24"/>
                <w:highlight w:val="none"/>
                <w:lang w:val="en-US" w:eastAsia="zh-CN"/>
              </w:rPr>
              <w:t>市政类</w:t>
            </w:r>
            <w:r>
              <w:rPr>
                <w:rFonts w:hint="eastAsia" w:asciiTheme="minorEastAsia" w:hAnsiTheme="minorEastAsia" w:eastAsiaTheme="minorEastAsia" w:cstheme="minorEastAsia"/>
                <w:color w:val="auto"/>
                <w:spacing w:val="7"/>
                <w:sz w:val="24"/>
                <w:szCs w:val="24"/>
                <w:highlight w:val="none"/>
                <w:lang w:val="en-US" w:eastAsia="zh-CN"/>
              </w:rPr>
              <w:t>结算</w:t>
            </w:r>
            <w:r>
              <w:rPr>
                <w:rFonts w:hint="eastAsia" w:asciiTheme="minorEastAsia" w:hAnsiTheme="minorEastAsia" w:cstheme="minorEastAsia"/>
                <w:color w:val="auto"/>
                <w:spacing w:val="7"/>
                <w:sz w:val="24"/>
                <w:szCs w:val="24"/>
                <w:highlight w:val="none"/>
                <w:lang w:val="en-US" w:eastAsia="zh-CN"/>
              </w:rPr>
              <w:t>审计</w:t>
            </w:r>
            <w:r>
              <w:rPr>
                <w:rFonts w:hint="eastAsia" w:asciiTheme="minorEastAsia" w:hAnsiTheme="minorEastAsia" w:eastAsiaTheme="minorEastAsia" w:cstheme="minorEastAsia"/>
                <w:color w:val="auto"/>
                <w:spacing w:val="7"/>
                <w:sz w:val="24"/>
                <w:szCs w:val="24"/>
                <w:highlight w:val="none"/>
                <w:lang w:val="en-US" w:eastAsia="zh-CN"/>
              </w:rPr>
              <w:t>业绩，</w:t>
            </w:r>
            <w:r>
              <w:rPr>
                <w:rFonts w:hint="eastAsia" w:asciiTheme="minorEastAsia" w:hAnsiTheme="minorEastAsia" w:eastAsiaTheme="minorEastAsia" w:cstheme="minorEastAsia"/>
                <w:color w:val="auto"/>
                <w:spacing w:val="7"/>
                <w:sz w:val="24"/>
                <w:szCs w:val="24"/>
                <w:highlight w:val="none"/>
              </w:rPr>
              <w:t xml:space="preserve">每提供一项业绩得 </w:t>
            </w:r>
            <w:r>
              <w:rPr>
                <w:rFonts w:hint="eastAsia" w:asciiTheme="minorEastAsia" w:hAnsiTheme="minorEastAsia" w:eastAsiaTheme="minorEastAsia" w:cstheme="minorEastAsia"/>
                <w:color w:val="auto"/>
                <w:spacing w:val="7"/>
                <w:sz w:val="24"/>
                <w:szCs w:val="24"/>
                <w:highlight w:val="none"/>
                <w:lang w:val="en-US" w:eastAsia="zh-CN"/>
              </w:rPr>
              <w:t>1</w:t>
            </w:r>
            <w:r>
              <w:rPr>
                <w:rFonts w:hint="eastAsia" w:asciiTheme="minorEastAsia" w:hAnsiTheme="minorEastAsia" w:cstheme="minorEastAsia"/>
                <w:color w:val="auto"/>
                <w:spacing w:val="7"/>
                <w:sz w:val="24"/>
                <w:szCs w:val="24"/>
                <w:highlight w:val="none"/>
                <w:lang w:val="en-US" w:eastAsia="zh-CN"/>
              </w:rPr>
              <w:t>0</w:t>
            </w:r>
            <w:r>
              <w:rPr>
                <w:rFonts w:hint="eastAsia" w:asciiTheme="minorEastAsia" w:hAnsiTheme="minorEastAsia" w:eastAsiaTheme="minorEastAsia" w:cstheme="minorEastAsia"/>
                <w:color w:val="auto"/>
                <w:spacing w:val="7"/>
                <w:sz w:val="24"/>
                <w:szCs w:val="24"/>
                <w:highlight w:val="none"/>
              </w:rPr>
              <w:t xml:space="preserve"> 分，满分</w:t>
            </w:r>
            <w:r>
              <w:rPr>
                <w:rFonts w:hint="eastAsia" w:asciiTheme="minorEastAsia" w:hAnsiTheme="minorEastAsia" w:eastAsiaTheme="minorEastAsia" w:cstheme="minorEastAsia"/>
                <w:color w:val="auto"/>
                <w:spacing w:val="7"/>
                <w:sz w:val="24"/>
                <w:szCs w:val="24"/>
                <w:highlight w:val="none"/>
                <w:lang w:val="en-US" w:eastAsia="zh-CN"/>
              </w:rPr>
              <w:t>1</w:t>
            </w:r>
            <w:r>
              <w:rPr>
                <w:rFonts w:hint="eastAsia" w:asciiTheme="minorEastAsia" w:hAnsiTheme="minorEastAsia" w:cstheme="minorEastAsia"/>
                <w:color w:val="auto"/>
                <w:spacing w:val="7"/>
                <w:sz w:val="24"/>
                <w:szCs w:val="24"/>
                <w:highlight w:val="none"/>
                <w:lang w:val="en-US" w:eastAsia="zh-CN"/>
              </w:rPr>
              <w:t>0</w:t>
            </w:r>
            <w:r>
              <w:rPr>
                <w:rFonts w:hint="eastAsia" w:asciiTheme="minorEastAsia" w:hAnsiTheme="minorEastAsia" w:eastAsiaTheme="minorEastAsia" w:cstheme="minorEastAsia"/>
                <w:color w:val="auto"/>
                <w:spacing w:val="7"/>
                <w:sz w:val="24"/>
                <w:szCs w:val="24"/>
                <w:highlight w:val="none"/>
              </w:rPr>
              <w:t>分；</w:t>
            </w:r>
          </w:p>
          <w:p w14:paraId="0338F12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备注：</w:t>
            </w:r>
          </w:p>
          <w:p w14:paraId="3BE7B29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1、提供合同复印件或扫描件或影印件并加盖供应商公章</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如合同不能体现评分要求的，可以补充批复、业主证明等其他政府性文件。</w:t>
            </w:r>
          </w:p>
          <w:p w14:paraId="34995E6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color w:val="auto"/>
                <w:highlight w:val="none"/>
              </w:rPr>
            </w:pPr>
            <w:r>
              <w:rPr>
                <w:rFonts w:hint="eastAsia" w:asciiTheme="minorEastAsia" w:hAnsiTheme="minorEastAsia" w:eastAsiaTheme="minorEastAsia" w:cstheme="minorEastAsia"/>
                <w:color w:val="auto"/>
                <w:spacing w:val="7"/>
                <w:sz w:val="24"/>
                <w:szCs w:val="24"/>
                <w:highlight w:val="none"/>
              </w:rPr>
              <w:t>2、如业绩为审计入库类项目的：则</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须同时提供框架合同和任务单（或认定单或单项协议）。如无单个任务单或认定单，需提供采购人（合同甲方）出具的相关任务分配的证明材料代替，证明材料中至少需包含委托任务名称，否则不予认可；</w:t>
            </w:r>
          </w:p>
        </w:tc>
        <w:tc>
          <w:tcPr>
            <w:tcW w:w="1195" w:type="dxa"/>
            <w:vAlign w:val="top"/>
          </w:tcPr>
          <w:p w14:paraId="40FFCEB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4C6ABC1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3796B1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6BA1EE39">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5F18332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lang w:val="en-US" w:eastAsia="zh-CN"/>
              </w:rPr>
              <w:t>0</w:t>
            </w:r>
            <w:r>
              <w:rPr>
                <w:rFonts w:hint="eastAsia" w:asciiTheme="minorEastAsia" w:hAnsiTheme="minorEastAsia" w:eastAsiaTheme="minorEastAsia" w:cstheme="minorEastAsia"/>
                <w:color w:val="auto"/>
                <w:spacing w:val="7"/>
                <w:sz w:val="24"/>
                <w:szCs w:val="24"/>
                <w:highlight w:val="none"/>
              </w:rPr>
              <w:t>分</w:t>
            </w:r>
          </w:p>
        </w:tc>
      </w:tr>
      <w:tr w14:paraId="269BB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0CBA01A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top"/>
          </w:tcPr>
          <w:p w14:paraId="0172267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32350C39">
            <w:pPr>
              <w:pStyle w:val="23"/>
              <w:ind w:left="0" w:leftChars="0" w:firstLine="0" w:firstLineChars="0"/>
              <w:rPr>
                <w:rFonts w:hint="eastAsia"/>
                <w:color w:val="auto"/>
                <w:highlight w:val="none"/>
              </w:rPr>
            </w:pPr>
          </w:p>
          <w:p w14:paraId="424CC80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项目负责人</w:t>
            </w:r>
          </w:p>
        </w:tc>
        <w:tc>
          <w:tcPr>
            <w:tcW w:w="5594" w:type="dxa"/>
            <w:vAlign w:val="top"/>
          </w:tcPr>
          <w:p w14:paraId="5A2A0C7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1、拟派项目负责人具有一级注册造价工程师注册证书的得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789EF95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注：</w:t>
            </w:r>
          </w:p>
          <w:p w14:paraId="6E77EF0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lang w:val="en-US" w:eastAsia="zh-CN"/>
              </w:rPr>
            </w:pP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lang w:val="en-US" w:eastAsia="zh-CN"/>
              </w:rPr>
              <w:t>1）</w:t>
            </w:r>
            <w:r>
              <w:rPr>
                <w:rFonts w:hint="eastAsia" w:asciiTheme="minorEastAsia" w:hAnsiTheme="minorEastAsia" w:eastAsiaTheme="minorEastAsia" w:cstheme="minorEastAsia"/>
                <w:color w:val="auto"/>
                <w:spacing w:val="7"/>
                <w:sz w:val="24"/>
                <w:szCs w:val="24"/>
                <w:highlight w:val="none"/>
              </w:rPr>
              <w:t>提供注册证</w:t>
            </w:r>
            <w:r>
              <w:rPr>
                <w:rFonts w:hint="eastAsia" w:asciiTheme="minorEastAsia" w:hAnsiTheme="minorEastAsia" w:cstheme="minorEastAsia"/>
                <w:color w:val="auto"/>
                <w:spacing w:val="7"/>
                <w:sz w:val="24"/>
                <w:szCs w:val="24"/>
                <w:highlight w:val="none"/>
                <w:lang w:val="en-US" w:eastAsia="zh-CN"/>
              </w:rPr>
              <w:t>书</w:t>
            </w:r>
          </w:p>
          <w:p w14:paraId="703B3049">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rPr>
              <w:t>拟派本项目项目负责人须是供应商本单位人员（不接受退休返聘人员及分公司人员） ；</w:t>
            </w:r>
          </w:p>
        </w:tc>
        <w:tc>
          <w:tcPr>
            <w:tcW w:w="1195" w:type="dxa"/>
            <w:vAlign w:val="top"/>
          </w:tcPr>
          <w:p w14:paraId="0171319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8717B2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6F66D1B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0C9FD4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lang w:val="en-US" w:eastAsia="zh-CN"/>
              </w:rPr>
              <w:t>0</w:t>
            </w:r>
            <w:r>
              <w:rPr>
                <w:rFonts w:hint="eastAsia" w:asciiTheme="minorEastAsia" w:hAnsiTheme="minorEastAsia" w:eastAsiaTheme="minorEastAsia" w:cstheme="minorEastAsia"/>
                <w:color w:val="auto"/>
                <w:spacing w:val="7"/>
                <w:sz w:val="24"/>
                <w:szCs w:val="24"/>
                <w:highlight w:val="none"/>
              </w:rPr>
              <w:t>分</w:t>
            </w:r>
          </w:p>
        </w:tc>
      </w:tr>
      <w:tr w14:paraId="05C4E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44604A0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top"/>
          </w:tcPr>
          <w:p w14:paraId="4E271F3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688A3F4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05C64DC">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6FA0363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FCAD73A">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项目组成员（不含项目负责人）</w:t>
            </w:r>
          </w:p>
        </w:tc>
        <w:tc>
          <w:tcPr>
            <w:tcW w:w="5594" w:type="dxa"/>
            <w:vAlign w:val="top"/>
          </w:tcPr>
          <w:p w14:paraId="1DE2EE9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lang w:val="en-US" w:eastAsia="zh-CN"/>
              </w:rPr>
              <w:t>提供一名人员</w:t>
            </w:r>
            <w:r>
              <w:rPr>
                <w:rFonts w:hint="eastAsia" w:asciiTheme="minorEastAsia" w:hAnsiTheme="minorEastAsia" w:eastAsiaTheme="minorEastAsia" w:cstheme="minorEastAsia"/>
                <w:color w:val="auto"/>
                <w:spacing w:val="7"/>
                <w:sz w:val="24"/>
                <w:szCs w:val="24"/>
                <w:highlight w:val="none"/>
              </w:rPr>
              <w:t>具有</w:t>
            </w:r>
            <w:r>
              <w:rPr>
                <w:rFonts w:hint="eastAsia" w:asciiTheme="minorEastAsia" w:hAnsiTheme="minorEastAsia" w:eastAsiaTheme="minorEastAsia" w:cstheme="minorEastAsia"/>
                <w:color w:val="auto"/>
                <w:spacing w:val="7"/>
                <w:sz w:val="24"/>
                <w:szCs w:val="24"/>
                <w:highlight w:val="none"/>
                <w:lang w:val="en-US" w:eastAsia="zh-CN"/>
              </w:rPr>
              <w:t>二</w:t>
            </w:r>
            <w:r>
              <w:rPr>
                <w:rFonts w:hint="eastAsia" w:asciiTheme="minorEastAsia" w:hAnsiTheme="minorEastAsia" w:eastAsiaTheme="minorEastAsia" w:cstheme="minorEastAsia"/>
                <w:color w:val="auto"/>
                <w:spacing w:val="7"/>
                <w:sz w:val="24"/>
                <w:szCs w:val="24"/>
                <w:highlight w:val="none"/>
              </w:rPr>
              <w:t>级注册造价工程师</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lang w:val="en-US" w:eastAsia="zh-CN"/>
              </w:rPr>
              <w:t>土建专业）</w:t>
            </w:r>
            <w:r>
              <w:rPr>
                <w:rFonts w:hint="eastAsia" w:asciiTheme="minorEastAsia" w:hAnsiTheme="minorEastAsia" w:eastAsiaTheme="minorEastAsia" w:cstheme="minorEastAsia"/>
                <w:color w:val="auto"/>
                <w:spacing w:val="7"/>
                <w:sz w:val="24"/>
                <w:szCs w:val="24"/>
                <w:highlight w:val="none"/>
              </w:rPr>
              <w:t>注册证书</w:t>
            </w:r>
            <w:r>
              <w:rPr>
                <w:rFonts w:hint="eastAsia" w:asciiTheme="minorEastAsia" w:hAnsiTheme="minorEastAsia" w:eastAsiaTheme="minorEastAsia" w:cstheme="minorEastAsia"/>
                <w:color w:val="auto"/>
                <w:spacing w:val="7"/>
                <w:sz w:val="24"/>
                <w:szCs w:val="24"/>
                <w:highlight w:val="none"/>
                <w:lang w:val="en-US" w:eastAsia="zh-CN"/>
              </w:rPr>
              <w:t>及以上</w:t>
            </w:r>
            <w:r>
              <w:rPr>
                <w:rFonts w:hint="eastAsia" w:asciiTheme="minorEastAsia" w:hAnsiTheme="minorEastAsia" w:eastAsiaTheme="minorEastAsia" w:cstheme="minorEastAsia"/>
                <w:color w:val="auto"/>
                <w:spacing w:val="7"/>
                <w:sz w:val="24"/>
                <w:szCs w:val="24"/>
                <w:highlight w:val="none"/>
              </w:rPr>
              <w:t>的得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lang w:val="en-US" w:eastAsia="zh-CN"/>
              </w:rPr>
              <w:t>得10</w:t>
            </w:r>
            <w:r>
              <w:rPr>
                <w:rFonts w:hint="eastAsia" w:asciiTheme="minorEastAsia" w:hAnsiTheme="minorEastAsia" w:eastAsiaTheme="minorEastAsia" w:cstheme="minorEastAsia"/>
                <w:color w:val="auto"/>
                <w:spacing w:val="7"/>
                <w:sz w:val="24"/>
                <w:szCs w:val="24"/>
                <w:highlight w:val="none"/>
              </w:rPr>
              <w:t>分</w:t>
            </w:r>
            <w:r>
              <w:rPr>
                <w:rFonts w:hint="eastAsia" w:asciiTheme="minorEastAsia" w:hAnsiTheme="minorEastAsia" w:eastAsiaTheme="minorEastAsia" w:cstheme="minorEastAsia"/>
                <w:color w:val="auto"/>
                <w:spacing w:val="7"/>
                <w:sz w:val="24"/>
                <w:szCs w:val="24"/>
                <w:highlight w:val="none"/>
                <w:lang w:eastAsia="zh-CN"/>
              </w:rPr>
              <w:t>；</w:t>
            </w:r>
          </w:p>
          <w:p w14:paraId="48FB9BB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lang w:val="en-US" w:eastAsia="zh-CN"/>
              </w:rPr>
              <w:t>提供一名人员</w:t>
            </w:r>
            <w:r>
              <w:rPr>
                <w:rFonts w:hint="eastAsia" w:asciiTheme="minorEastAsia" w:hAnsiTheme="minorEastAsia" w:eastAsiaTheme="minorEastAsia" w:cstheme="minorEastAsia"/>
                <w:color w:val="auto"/>
                <w:spacing w:val="7"/>
                <w:sz w:val="24"/>
                <w:szCs w:val="24"/>
                <w:highlight w:val="none"/>
              </w:rPr>
              <w:t>具</w:t>
            </w:r>
            <w:r>
              <w:rPr>
                <w:rFonts w:hint="eastAsia" w:asciiTheme="minorEastAsia" w:hAnsiTheme="minorEastAsia" w:eastAsiaTheme="minorEastAsia" w:cstheme="minorEastAsia"/>
                <w:color w:val="auto"/>
                <w:spacing w:val="7"/>
                <w:sz w:val="24"/>
                <w:szCs w:val="24"/>
                <w:highlight w:val="none"/>
                <w:lang w:val="en-US" w:eastAsia="zh-CN"/>
              </w:rPr>
              <w:t>有</w:t>
            </w:r>
            <w:r>
              <w:rPr>
                <w:rFonts w:hint="eastAsia" w:asciiTheme="minorEastAsia" w:hAnsiTheme="minorEastAsia" w:eastAsiaTheme="minorEastAsia" w:cstheme="minorEastAsia"/>
                <w:color w:val="auto"/>
                <w:spacing w:val="7"/>
                <w:sz w:val="24"/>
                <w:szCs w:val="24"/>
                <w:highlight w:val="none"/>
              </w:rPr>
              <w:t>二级注册造价工程师（</w:t>
            </w:r>
            <w:r>
              <w:rPr>
                <w:rFonts w:hint="eastAsia" w:asciiTheme="minorEastAsia" w:hAnsiTheme="minorEastAsia" w:eastAsiaTheme="minorEastAsia" w:cstheme="minorEastAsia"/>
                <w:color w:val="auto"/>
                <w:spacing w:val="7"/>
                <w:sz w:val="24"/>
                <w:szCs w:val="24"/>
                <w:highlight w:val="none"/>
                <w:lang w:val="en-US" w:eastAsia="zh-CN"/>
              </w:rPr>
              <w:t>安装专业</w:t>
            </w:r>
            <w:r>
              <w:rPr>
                <w:rFonts w:hint="eastAsia" w:asciiTheme="minorEastAsia" w:hAnsiTheme="minorEastAsia" w:eastAsiaTheme="minorEastAsia" w:cstheme="minorEastAsia"/>
                <w:color w:val="auto"/>
                <w:spacing w:val="7"/>
                <w:sz w:val="24"/>
                <w:szCs w:val="24"/>
                <w:highlight w:val="none"/>
              </w:rPr>
              <w:t>）注册证书</w:t>
            </w:r>
            <w:r>
              <w:rPr>
                <w:rFonts w:hint="eastAsia" w:asciiTheme="minorEastAsia" w:hAnsiTheme="minorEastAsia" w:eastAsiaTheme="minorEastAsia" w:cstheme="minorEastAsia"/>
                <w:color w:val="auto"/>
                <w:spacing w:val="7"/>
                <w:sz w:val="24"/>
                <w:szCs w:val="24"/>
                <w:highlight w:val="none"/>
                <w:lang w:val="en-US" w:eastAsia="zh-CN"/>
              </w:rPr>
              <w:t>及以上</w:t>
            </w:r>
            <w:r>
              <w:rPr>
                <w:rFonts w:hint="eastAsia" w:asciiTheme="minorEastAsia" w:hAnsiTheme="minorEastAsia" w:eastAsiaTheme="minorEastAsia" w:cstheme="minorEastAsia"/>
                <w:color w:val="auto"/>
                <w:spacing w:val="7"/>
                <w:sz w:val="24"/>
                <w:szCs w:val="24"/>
                <w:highlight w:val="none"/>
              </w:rPr>
              <w:t>的得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2B7E37A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注：</w:t>
            </w:r>
          </w:p>
          <w:p w14:paraId="6C4CFD5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lang w:val="en-US" w:eastAsia="zh-CN"/>
              </w:rPr>
              <w:t>1）</w:t>
            </w:r>
            <w:r>
              <w:rPr>
                <w:rFonts w:hint="eastAsia" w:asciiTheme="minorEastAsia" w:hAnsiTheme="minorEastAsia" w:eastAsiaTheme="minorEastAsia" w:cstheme="minorEastAsia"/>
                <w:color w:val="auto"/>
                <w:spacing w:val="7"/>
                <w:sz w:val="24"/>
                <w:szCs w:val="24"/>
                <w:highlight w:val="none"/>
              </w:rPr>
              <w:t>注册造价工程师提供注册证书；</w:t>
            </w:r>
          </w:p>
          <w:p w14:paraId="5B2584F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rPr>
              <w:t>拟派人员须为供应商本单位人员（不接受退休返聘人员及分公司人员）</w:t>
            </w:r>
          </w:p>
        </w:tc>
        <w:tc>
          <w:tcPr>
            <w:tcW w:w="1195" w:type="dxa"/>
            <w:vAlign w:val="top"/>
          </w:tcPr>
          <w:p w14:paraId="530D330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23C3C0D7">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p>
          <w:p w14:paraId="0A4773F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4FE7BE4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00DC72C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20</w:t>
            </w:r>
            <w:r>
              <w:rPr>
                <w:rFonts w:hint="eastAsia" w:asciiTheme="minorEastAsia" w:hAnsiTheme="minorEastAsia" w:eastAsiaTheme="minorEastAsia" w:cstheme="minorEastAsia"/>
                <w:color w:val="auto"/>
                <w:spacing w:val="7"/>
                <w:sz w:val="24"/>
                <w:szCs w:val="24"/>
                <w:highlight w:val="none"/>
              </w:rPr>
              <w:t>分</w:t>
            </w:r>
          </w:p>
        </w:tc>
      </w:tr>
      <w:tr w14:paraId="64E3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575F283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center"/>
          </w:tcPr>
          <w:p w14:paraId="09FE648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服务承诺</w:t>
            </w:r>
          </w:p>
        </w:tc>
        <w:tc>
          <w:tcPr>
            <w:tcW w:w="5594" w:type="dxa"/>
            <w:vAlign w:val="top"/>
          </w:tcPr>
          <w:p w14:paraId="6FB2B64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响应文件中作出如下书面承诺：</w:t>
            </w:r>
          </w:p>
          <w:p w14:paraId="14DA2FD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作出工作质量承诺(误差值≤3%)；若复审误差率＞3%移送行业主管部门处理，3年内不得参与采购方项目的控制价编制及审核、决(结)算审核及审计工作，不予支付审计考核经费，造成损失的，视情节进行索赔。提供工作质量承诺的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2BDAAD4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响应文件中作出技术保证（含工作设备配备）承诺，承诺投标人所有技术力量在招标人需要时提供服务、承诺交通工具及工作设施设备配置齐全的 ，得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4FFCF94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响应文件中作出不得拒绝协助采购人工作承诺的，得</w:t>
            </w:r>
            <w:r>
              <w:rPr>
                <w:rFonts w:hint="eastAsia" w:asciiTheme="minorEastAsia" w:hAnsiTheme="minorEastAsia" w:eastAsiaTheme="minorEastAsia" w:cstheme="minorEastAsia"/>
                <w:color w:val="auto"/>
                <w:spacing w:val="7"/>
                <w:sz w:val="24"/>
                <w:szCs w:val="24"/>
                <w:highlight w:val="none"/>
                <w:lang w:val="en-US" w:eastAsia="zh-CN"/>
              </w:rPr>
              <w:t>4</w:t>
            </w:r>
            <w:r>
              <w:rPr>
                <w:rFonts w:hint="eastAsia" w:asciiTheme="minorEastAsia" w:hAnsiTheme="minorEastAsia" w:eastAsiaTheme="minorEastAsia" w:cstheme="minorEastAsia"/>
                <w:color w:val="auto"/>
                <w:spacing w:val="7"/>
                <w:sz w:val="24"/>
                <w:szCs w:val="24"/>
                <w:highlight w:val="none"/>
              </w:rPr>
              <w:t>分。</w:t>
            </w:r>
          </w:p>
          <w:p w14:paraId="7B522FE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（4）供应商在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响应文件中承诺在接到采购人通知后2小时内到场会商的，得</w:t>
            </w:r>
            <w:r>
              <w:rPr>
                <w:rFonts w:hint="eastAsia" w:asciiTheme="minorEastAsia" w:hAnsiTheme="minorEastAsia" w:eastAsiaTheme="minorEastAsia" w:cstheme="minorEastAsia"/>
                <w:color w:val="auto"/>
                <w:spacing w:val="7"/>
                <w:sz w:val="24"/>
                <w:szCs w:val="24"/>
                <w:highlight w:val="none"/>
                <w:lang w:val="en-US" w:eastAsia="zh-CN"/>
              </w:rPr>
              <w:t>4</w:t>
            </w:r>
            <w:r>
              <w:rPr>
                <w:rFonts w:hint="eastAsia" w:asciiTheme="minorEastAsia" w:hAnsiTheme="minorEastAsia" w:eastAsiaTheme="minorEastAsia" w:cstheme="minorEastAsia"/>
                <w:color w:val="auto"/>
                <w:spacing w:val="7"/>
                <w:sz w:val="24"/>
                <w:szCs w:val="24"/>
                <w:highlight w:val="none"/>
              </w:rPr>
              <w:t>分。</w:t>
            </w:r>
          </w:p>
          <w:p w14:paraId="46AC0E6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注：</w:t>
            </w:r>
          </w:p>
          <w:p w14:paraId="2611E7E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投标文件中须提供承诺，不提供不得分。承诺格式自拟。</w:t>
            </w:r>
          </w:p>
        </w:tc>
        <w:tc>
          <w:tcPr>
            <w:tcW w:w="1195" w:type="dxa"/>
            <w:vAlign w:val="top"/>
          </w:tcPr>
          <w:p w14:paraId="74EBC53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363F052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F6891C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363EE28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A3AF73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575354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C28F17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35223F0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20</w:t>
            </w:r>
            <w:r>
              <w:rPr>
                <w:rFonts w:hint="eastAsia" w:asciiTheme="minorEastAsia" w:hAnsiTheme="minorEastAsia" w:eastAsiaTheme="minorEastAsia" w:cstheme="minorEastAsia"/>
                <w:color w:val="auto"/>
                <w:spacing w:val="7"/>
                <w:sz w:val="24"/>
                <w:szCs w:val="24"/>
                <w:highlight w:val="none"/>
              </w:rPr>
              <w:t>分</w:t>
            </w:r>
          </w:p>
        </w:tc>
      </w:tr>
    </w:tbl>
    <w:p w14:paraId="0742894F">
      <w:pPr>
        <w:spacing w:before="120" w:beforeLines="50" w:after="120" w:afterLines="50" w:line="500" w:lineRule="exact"/>
        <w:jc w:val="both"/>
        <w:rPr>
          <w:rFonts w:hint="eastAsia" w:ascii="宋体" w:hAnsi="宋体" w:eastAsia="宋体" w:cs="宋体"/>
          <w:color w:val="auto"/>
          <w:sz w:val="28"/>
          <w:szCs w:val="28"/>
          <w:highlight w:val="none"/>
          <w:lang w:val="en-US" w:eastAsia="zh-CN"/>
        </w:rPr>
      </w:pPr>
    </w:p>
    <w:p w14:paraId="712E0E5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备注：</w:t>
      </w:r>
    </w:p>
    <w:p w14:paraId="06CFFC50">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 以上评分汇总分精确至小数点后二位、小数点后第三位四舍五入。</w:t>
      </w:r>
    </w:p>
    <w:p w14:paraId="5EDADEC2">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（2）响应人提供的证明材料要能清晰反映评分的实质内容，如因材料模糊不清，导致无法辨认</w:t>
      </w:r>
    </w:p>
    <w:p w14:paraId="34D93E65">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的</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小组可以不予认可，一切后果由响应人自行承担。</w:t>
      </w:r>
    </w:p>
    <w:p w14:paraId="6FC16C4B">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（3）以上评分项中要求响应人提供的证明文件，响应人提供证明文件的扫描件或复印件或影印件加盖响应人公章。</w:t>
      </w:r>
    </w:p>
    <w:p w14:paraId="11BB1DCB">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2.4.3 分值汇总</w:t>
      </w:r>
    </w:p>
    <w:p w14:paraId="592A91B7">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小组各成员应当独立对每个有效响应的文件进行评价、打分，然后汇总每个供应商每 项评分因素的得分，再取各位评委评分之平均值，四舍五入保留至小数点后两位数，得到该供应商的技术资信分。</w:t>
      </w:r>
    </w:p>
    <w:p w14:paraId="41F12A02">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（2）将每个供应商的技术资信分加上根据上述标准计算出的价格分，即为该供应商的综合总得分。</w:t>
      </w:r>
    </w:p>
    <w:p w14:paraId="3B0B87F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sectPr>
          <w:headerReference r:id="rId5" w:type="default"/>
          <w:footerReference r:id="rId6" w:type="default"/>
          <w:pgSz w:w="11906" w:h="16839"/>
          <w:pgMar w:top="1440" w:right="1080" w:bottom="1440" w:left="1080" w:header="905" w:footer="677" w:gutter="0"/>
          <w:pgNumType w:fmt="decimal"/>
          <w:cols w:space="720" w:num="1"/>
        </w:sectPr>
      </w:pPr>
    </w:p>
    <w:p w14:paraId="4AD52322">
      <w:pPr>
        <w:pStyle w:val="17"/>
        <w:ind w:firstLine="0" w:firstLine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二、比选响应文件格式</w:t>
      </w:r>
    </w:p>
    <w:p w14:paraId="33E30E8B">
      <w:pPr>
        <w:pStyle w:val="15"/>
        <w:widowControl/>
        <w:spacing w:beforeAutospacing="0" w:afterAutospacing="0" w:line="280" w:lineRule="atLeast"/>
        <w:jc w:val="righ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正本（副本）</w:t>
      </w:r>
    </w:p>
    <w:p w14:paraId="6D935706">
      <w:pPr>
        <w:ind w:firstLine="400" w:firstLineChars="100"/>
        <w:jc w:val="center"/>
        <w:rPr>
          <w:rFonts w:hint="eastAsia" w:ascii="宋体" w:hAnsi="宋体" w:eastAsia="宋体" w:cs="宋体"/>
          <w:b/>
          <w:bCs/>
          <w:color w:val="auto"/>
          <w:sz w:val="52"/>
          <w:szCs w:val="52"/>
          <w:highlight w:val="none"/>
          <w:u w:val="single"/>
        </w:rPr>
      </w:pPr>
      <w:r>
        <w:rPr>
          <w:rFonts w:hint="eastAsia" w:ascii="宋体" w:hAnsi="宋体" w:eastAsia="宋体" w:cs="宋体"/>
          <w:color w:val="auto"/>
          <w:sz w:val="40"/>
          <w:szCs w:val="40"/>
          <w:highlight w:val="none"/>
          <w:u w:val="single"/>
          <w:lang w:val="en-US" w:eastAsia="zh-CN"/>
        </w:rPr>
        <w:t>安庆桐城化工园区(稳定同位素产业园)-污水处理厂、事故应急池项目和安庆桐城化工园区(稳定同位素产业园)一北四路(龙池北路-东一路)建设工程及配套专用管廊项目跟踪审计服务</w:t>
      </w:r>
    </w:p>
    <w:p w14:paraId="0E983B92">
      <w:pPr>
        <w:jc w:val="center"/>
        <w:rPr>
          <w:rFonts w:hint="eastAsia" w:ascii="楷体" w:hAnsi="楷体" w:eastAsia="楷体" w:cs="楷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2164866D">
      <w:pPr>
        <w:pStyle w:val="23"/>
        <w:rPr>
          <w:color w:val="auto"/>
          <w:highlight w:val="none"/>
        </w:rPr>
      </w:pPr>
    </w:p>
    <w:p w14:paraId="18E17F9F">
      <w:pPr>
        <w:pStyle w:val="17"/>
        <w:ind w:firstLine="640"/>
        <w:rPr>
          <w:color w:val="auto"/>
          <w:highlight w:val="none"/>
        </w:rPr>
      </w:pPr>
    </w:p>
    <w:p w14:paraId="5610E2B4">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4"/>
          <w:szCs w:val="24"/>
          <w:highlight w:val="none"/>
          <w:u w:val="single"/>
          <w:lang w:val="en-US" w:eastAsia="zh-CN"/>
        </w:rPr>
        <w:t>安庆桐城化工园区(稳定同位素产业园)-污水处理厂、事故应急池项目和安庆桐城化工园区(稳定同位素产业园)一北四路(龙池北路-东一路)建设工程及配套专用管廊项目跟踪审计服务</w:t>
      </w:r>
      <w:r>
        <w:rPr>
          <w:rFonts w:hint="eastAsia" w:ascii="宋体" w:hAnsi="宋体" w:eastAsia="宋体" w:cs="宋体"/>
          <w:color w:val="auto"/>
          <w:sz w:val="24"/>
          <w:szCs w:val="24"/>
          <w:highlight w:val="none"/>
          <w:u w:val="single"/>
        </w:rPr>
        <w:t xml:space="preserve"> </w:t>
      </w:r>
    </w:p>
    <w:p w14:paraId="03543BC7">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资格审查部分                  </w:t>
      </w:r>
    </w:p>
    <w:p w14:paraId="221CBD8D">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比选响应人</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（盖</w:t>
      </w:r>
      <w:r>
        <w:rPr>
          <w:rFonts w:hint="eastAsia" w:ascii="宋体" w:hAnsi="宋体" w:eastAsia="宋体" w:cs="宋体"/>
          <w:color w:val="auto"/>
          <w:sz w:val="28"/>
          <w:szCs w:val="28"/>
          <w:highlight w:val="none"/>
          <w:u w:val="single"/>
          <w:lang w:val="en-US" w:eastAsia="zh-CN"/>
        </w:rPr>
        <w:t>公</w:t>
      </w:r>
      <w:r>
        <w:rPr>
          <w:rFonts w:hint="eastAsia" w:ascii="宋体" w:hAnsi="宋体" w:eastAsia="宋体" w:cs="宋体"/>
          <w:color w:val="auto"/>
          <w:sz w:val="28"/>
          <w:szCs w:val="28"/>
          <w:highlight w:val="none"/>
          <w:u w:val="single"/>
        </w:rPr>
        <w:t>章）</w:t>
      </w:r>
      <w:r>
        <w:rPr>
          <w:rFonts w:hint="eastAsia" w:ascii="宋体" w:hAnsi="宋体" w:eastAsia="宋体" w:cs="宋体"/>
          <w:color w:val="auto"/>
          <w:sz w:val="28"/>
          <w:szCs w:val="28"/>
          <w:highlight w:val="none"/>
        </w:rPr>
        <w:t xml:space="preserve">    </w:t>
      </w:r>
    </w:p>
    <w:p w14:paraId="6568BA3C">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75A39325">
      <w:pPr>
        <w:tabs>
          <w:tab w:val="left" w:pos="1440"/>
          <w:tab w:val="left" w:pos="8280"/>
        </w:tabs>
        <w:spacing w:line="800" w:lineRule="exact"/>
        <w:ind w:left="420" w:left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6CB2DBD">
      <w:pPr>
        <w:jc w:val="center"/>
        <w:rPr>
          <w:rFonts w:hint="eastAsia" w:asciiTheme="minorEastAsia" w:hAnsiTheme="minorEastAsia" w:eastAsiaTheme="minorEastAsia" w:cstheme="minorEastAsia"/>
          <w:color w:val="auto"/>
          <w:sz w:val="36"/>
          <w:szCs w:val="36"/>
          <w:highlight w:val="none"/>
          <w:lang w:val="en-US" w:eastAsia="zh-CN"/>
        </w:rPr>
      </w:pPr>
    </w:p>
    <w:p w14:paraId="7E9BADCE">
      <w:pPr>
        <w:jc w:val="center"/>
        <w:rPr>
          <w:rFonts w:hint="eastAsia" w:asciiTheme="minorEastAsia" w:hAnsiTheme="minorEastAsia" w:eastAsiaTheme="minorEastAsia" w:cstheme="minorEastAsia"/>
          <w:color w:val="auto"/>
          <w:sz w:val="36"/>
          <w:szCs w:val="36"/>
          <w:highlight w:val="none"/>
          <w:lang w:val="en-US" w:eastAsia="zh-CN"/>
        </w:rPr>
      </w:pPr>
    </w:p>
    <w:p w14:paraId="14981FD2">
      <w:pP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br w:type="page"/>
      </w:r>
    </w:p>
    <w:p w14:paraId="49C339B5">
      <w:pPr>
        <w:jc w:val="cente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t>目   录</w:t>
      </w:r>
    </w:p>
    <w:p w14:paraId="48322DB2">
      <w:pPr>
        <w:numPr>
          <w:ilvl w:val="0"/>
          <w:numId w:val="0"/>
        </w:numPr>
        <w:spacing w:line="360" w:lineRule="auto"/>
        <w:rPr>
          <w:rFonts w:hint="eastAsia" w:ascii="宋体" w:hAnsi="宋体" w:eastAsia="宋体" w:cs="宋体"/>
          <w:color w:val="auto"/>
          <w:sz w:val="28"/>
          <w:szCs w:val="28"/>
          <w:highlight w:val="none"/>
          <w:lang w:val="en-US" w:eastAsia="zh-CN"/>
        </w:rPr>
      </w:pPr>
    </w:p>
    <w:p w14:paraId="39A2FA65">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1、法定代表人身份证明书(原件，格式详见附件1)及法人身份证复印件</w:t>
      </w:r>
    </w:p>
    <w:p w14:paraId="4BB56FA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2、授权委托书（格式详见附件2）及被授权人身份证复印件（如授权委托参加开标会的）</w:t>
      </w:r>
    </w:p>
    <w:p w14:paraId="4C0F411D">
      <w:pPr>
        <w:numPr>
          <w:ilvl w:val="0"/>
          <w:numId w:val="0"/>
        </w:numPr>
        <w:spacing w:line="360" w:lineRule="auto"/>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3、营业执照</w:t>
      </w:r>
    </w:p>
    <w:p w14:paraId="13C67ABA">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4、投标人良好信誉证明</w:t>
      </w:r>
    </w:p>
    <w:p w14:paraId="356A25C0">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5、服务内容及要求响应表</w:t>
      </w:r>
    </w:p>
    <w:p w14:paraId="6A9BC5C6">
      <w:pPr>
        <w:jc w:val="center"/>
        <w:rPr>
          <w:rFonts w:hint="eastAsia" w:asciiTheme="minorEastAsia" w:hAnsiTheme="minorEastAsia" w:eastAsiaTheme="minorEastAsia" w:cstheme="minorEastAsia"/>
          <w:color w:val="auto"/>
          <w:sz w:val="36"/>
          <w:szCs w:val="36"/>
          <w:highlight w:val="none"/>
          <w:lang w:val="en-US" w:eastAsia="zh-CN"/>
        </w:rPr>
      </w:pPr>
    </w:p>
    <w:p w14:paraId="756567DA">
      <w:pPr>
        <w:jc w:val="center"/>
        <w:rPr>
          <w:rFonts w:hint="eastAsia" w:asciiTheme="minorEastAsia" w:hAnsiTheme="minorEastAsia" w:eastAsiaTheme="minorEastAsia" w:cstheme="minorEastAsia"/>
          <w:color w:val="auto"/>
          <w:sz w:val="36"/>
          <w:szCs w:val="36"/>
          <w:highlight w:val="none"/>
          <w:lang w:val="en-US" w:eastAsia="zh-CN"/>
        </w:rPr>
      </w:pPr>
    </w:p>
    <w:p w14:paraId="2764DC96">
      <w:pPr>
        <w:rPr>
          <w:rFonts w:hint="eastAsia" w:ascii="仿宋" w:hAnsi="仿宋" w:eastAsia="仿宋" w:cs="仿宋"/>
          <w:b/>
          <w:bCs/>
          <w:color w:val="auto"/>
          <w:sz w:val="28"/>
          <w:szCs w:val="28"/>
          <w:highlight w:val="none"/>
          <w:lang w:val="en-US" w:eastAsia="zh-CN"/>
        </w:rPr>
      </w:pPr>
    </w:p>
    <w:p w14:paraId="67EAF1FF">
      <w:pPr>
        <w:rPr>
          <w:rFonts w:hint="eastAsia" w:ascii="仿宋" w:hAnsi="仿宋" w:eastAsia="仿宋" w:cs="仿宋"/>
          <w:b/>
          <w:bCs/>
          <w:color w:val="auto"/>
          <w:sz w:val="28"/>
          <w:szCs w:val="28"/>
          <w:highlight w:val="none"/>
          <w:lang w:val="en-US" w:eastAsia="zh-CN"/>
        </w:rPr>
      </w:pPr>
    </w:p>
    <w:p w14:paraId="681E0CE9">
      <w:pPr>
        <w:rPr>
          <w:rFonts w:hint="eastAsia" w:ascii="仿宋" w:hAnsi="仿宋" w:eastAsia="仿宋" w:cs="仿宋"/>
          <w:b/>
          <w:bCs/>
          <w:color w:val="auto"/>
          <w:sz w:val="28"/>
          <w:szCs w:val="28"/>
          <w:highlight w:val="none"/>
          <w:lang w:val="en-US" w:eastAsia="zh-CN"/>
        </w:rPr>
      </w:pPr>
    </w:p>
    <w:p w14:paraId="58128C7A">
      <w:pPr>
        <w:rPr>
          <w:rFonts w:hint="eastAsia" w:ascii="仿宋" w:hAnsi="仿宋" w:eastAsia="仿宋" w:cs="仿宋"/>
          <w:b/>
          <w:bCs/>
          <w:color w:val="auto"/>
          <w:sz w:val="28"/>
          <w:szCs w:val="28"/>
          <w:highlight w:val="none"/>
          <w:lang w:val="en-US" w:eastAsia="zh-CN"/>
        </w:rPr>
      </w:pPr>
    </w:p>
    <w:p w14:paraId="30D827A1">
      <w:pPr>
        <w:rPr>
          <w:rFonts w:hint="eastAsia" w:ascii="仿宋" w:hAnsi="仿宋" w:eastAsia="仿宋" w:cs="仿宋"/>
          <w:b/>
          <w:bCs/>
          <w:color w:val="auto"/>
          <w:sz w:val="28"/>
          <w:szCs w:val="28"/>
          <w:highlight w:val="none"/>
          <w:lang w:val="en-US" w:eastAsia="zh-CN"/>
        </w:rPr>
      </w:pPr>
    </w:p>
    <w:p w14:paraId="58CD8300">
      <w:pPr>
        <w:rPr>
          <w:rFonts w:hint="eastAsia" w:ascii="仿宋" w:hAnsi="仿宋" w:eastAsia="仿宋" w:cs="仿宋"/>
          <w:b/>
          <w:bCs/>
          <w:color w:val="auto"/>
          <w:sz w:val="28"/>
          <w:szCs w:val="28"/>
          <w:highlight w:val="none"/>
        </w:rPr>
      </w:pPr>
    </w:p>
    <w:p w14:paraId="2D9058FC">
      <w:pPr>
        <w:pStyle w:val="23"/>
        <w:rPr>
          <w:rFonts w:hint="eastAsia" w:ascii="仿宋" w:hAnsi="仿宋" w:eastAsia="仿宋" w:cs="仿宋"/>
          <w:b/>
          <w:bCs/>
          <w:color w:val="auto"/>
          <w:sz w:val="28"/>
          <w:szCs w:val="28"/>
          <w:highlight w:val="none"/>
        </w:rPr>
      </w:pPr>
    </w:p>
    <w:p w14:paraId="0707C15B">
      <w:pPr>
        <w:pStyle w:val="23"/>
        <w:rPr>
          <w:rFonts w:hint="eastAsia" w:ascii="仿宋" w:hAnsi="仿宋" w:eastAsia="仿宋" w:cs="仿宋"/>
          <w:b/>
          <w:bCs/>
          <w:color w:val="auto"/>
          <w:sz w:val="28"/>
          <w:szCs w:val="28"/>
          <w:highlight w:val="none"/>
        </w:rPr>
      </w:pPr>
    </w:p>
    <w:p w14:paraId="79C89379">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br w:type="page"/>
      </w:r>
    </w:p>
    <w:p w14:paraId="77BD2064">
      <w:pPr>
        <w:pStyle w:val="23"/>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附件1</w:t>
      </w:r>
    </w:p>
    <w:p w14:paraId="6C79BF9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1、法定代表人身份证明书</w:t>
      </w:r>
    </w:p>
    <w:p w14:paraId="2828C50D">
      <w:pPr>
        <w:jc w:val="center"/>
        <w:rPr>
          <w:rFonts w:hint="eastAsia" w:ascii="宋体" w:hAnsi="宋体" w:eastAsia="宋体" w:cs="宋体"/>
          <w:b/>
          <w:color w:val="auto"/>
          <w:sz w:val="24"/>
          <w:szCs w:val="24"/>
          <w:highlight w:val="none"/>
        </w:rPr>
      </w:pPr>
    </w:p>
    <w:p w14:paraId="079EC19C">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投 标 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809A9CF">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39FA342">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88FA93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13BF65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2B830A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u w:val="none"/>
          <w:lang w:val="en-US" w:eastAsia="zh-CN"/>
        </w:rPr>
        <w:t>性 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D5123A">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FAC51A8">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（比选响应人名称）的法定代表人。</w:t>
      </w:r>
    </w:p>
    <w:p w14:paraId="3A916B2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特此证明。 </w:t>
      </w:r>
    </w:p>
    <w:p w14:paraId="5F01939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附：法定代表人身份证复印件</w:t>
      </w:r>
    </w:p>
    <w:p w14:paraId="38697773">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7768A0A5">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44D71F8C">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3BD68451">
      <w:pPr>
        <w:keepNext w:val="0"/>
        <w:keepLines w:val="0"/>
        <w:pageBreakBefore w:val="0"/>
        <w:kinsoku/>
        <w:wordWrap/>
        <w:overflowPunct/>
        <w:topLinePunct w:val="0"/>
        <w:autoSpaceDE/>
        <w:autoSpaceDN/>
        <w:bidi w:val="0"/>
        <w:adjustRightInd/>
        <w:snapToGrid/>
        <w:spacing w:line="500" w:lineRule="exact"/>
        <w:ind w:firstLine="4800" w:firstLineChars="20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比选响应人：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（盖公章）</w:t>
      </w:r>
    </w:p>
    <w:p w14:paraId="7DE5EC2A">
      <w:pPr>
        <w:keepNext w:val="0"/>
        <w:keepLines w:val="0"/>
        <w:pageBreakBefore w:val="0"/>
        <w:kinsoku/>
        <w:wordWrap/>
        <w:overflowPunct/>
        <w:topLinePunct w:val="0"/>
        <w:autoSpaceDE/>
        <w:autoSpaceDN/>
        <w:bidi w:val="0"/>
        <w:adjustRightInd/>
        <w:snapToGrid/>
        <w:spacing w:line="500" w:lineRule="exact"/>
        <w:ind w:firstLine="4560" w:firstLineChars="1900"/>
        <w:jc w:val="both"/>
        <w:textAlignment w:val="auto"/>
        <w:rPr>
          <w:rFonts w:hint="eastAsia" w:ascii="宋体" w:hAnsi="宋体" w:eastAsia="宋体" w:cs="宋体"/>
          <w:color w:val="auto"/>
          <w:sz w:val="24"/>
          <w:szCs w:val="24"/>
          <w:highlight w:val="none"/>
        </w:rPr>
      </w:pPr>
    </w:p>
    <w:p w14:paraId="000408DC">
      <w:pPr>
        <w:keepNext w:val="0"/>
        <w:keepLines w:val="0"/>
        <w:pageBreakBefore w:val="0"/>
        <w:kinsoku/>
        <w:wordWrap/>
        <w:overflowPunct/>
        <w:topLinePunct w:val="0"/>
        <w:autoSpaceDE/>
        <w:autoSpaceDN/>
        <w:bidi w:val="0"/>
        <w:adjustRightInd/>
        <w:snapToGrid/>
        <w:spacing w:line="500" w:lineRule="exact"/>
        <w:ind w:firstLine="6480" w:firstLineChars="27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年   月   日</w:t>
      </w:r>
    </w:p>
    <w:p w14:paraId="22E5FF30">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6A076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10" w:lineRule="atLeast"/>
        <w:ind w:right="0"/>
        <w:jc w:val="both"/>
        <w:outlineLvl w:val="9"/>
        <w:rPr>
          <w:rFonts w:hint="eastAsia" w:ascii="仿宋" w:hAnsi="仿宋" w:eastAsia="仿宋" w:cs="仿宋"/>
          <w:color w:val="auto"/>
          <w:sz w:val="28"/>
          <w:szCs w:val="28"/>
          <w:highlight w:val="none"/>
          <w:lang w:val="en-US" w:eastAsia="zh-CN"/>
        </w:rPr>
      </w:pPr>
    </w:p>
    <w:p w14:paraId="0F879BEA">
      <w:pPr>
        <w:rPr>
          <w:rFonts w:hint="eastAsia" w:ascii="仿宋" w:hAnsi="仿宋" w:eastAsia="仿宋" w:cs="仿宋"/>
          <w:color w:val="auto"/>
          <w:sz w:val="28"/>
          <w:szCs w:val="28"/>
          <w:highlight w:val="none"/>
          <w:lang w:val="en-US" w:eastAsia="zh-CN"/>
        </w:rPr>
      </w:pPr>
    </w:p>
    <w:p w14:paraId="0D83BCC8">
      <w:pPr>
        <w:rPr>
          <w:rFonts w:hint="eastAsia" w:ascii="仿宋" w:hAnsi="仿宋" w:eastAsia="仿宋" w:cs="仿宋"/>
          <w:color w:val="auto"/>
          <w:sz w:val="28"/>
          <w:szCs w:val="28"/>
          <w:highlight w:val="none"/>
          <w:lang w:val="en-US" w:eastAsia="zh-CN"/>
        </w:rPr>
      </w:pPr>
    </w:p>
    <w:p w14:paraId="7829D2D5">
      <w:pPr>
        <w:rPr>
          <w:rFonts w:hint="eastAsia" w:ascii="仿宋" w:hAnsi="仿宋" w:eastAsia="仿宋" w:cs="仿宋"/>
          <w:color w:val="auto"/>
          <w:sz w:val="28"/>
          <w:szCs w:val="28"/>
          <w:highlight w:val="none"/>
          <w:lang w:val="en-US" w:eastAsia="zh-CN"/>
        </w:rPr>
      </w:pPr>
    </w:p>
    <w:p w14:paraId="1CB47380">
      <w:pPr>
        <w:rPr>
          <w:rFonts w:hint="eastAsia" w:ascii="仿宋" w:hAnsi="仿宋" w:eastAsia="仿宋" w:cs="仿宋"/>
          <w:color w:val="auto"/>
          <w:sz w:val="28"/>
          <w:szCs w:val="28"/>
          <w:highlight w:val="none"/>
          <w:lang w:val="en-US" w:eastAsia="zh-CN"/>
        </w:rPr>
      </w:pPr>
    </w:p>
    <w:p w14:paraId="10E11782">
      <w:pPr>
        <w:rPr>
          <w:rFonts w:hint="eastAsia" w:ascii="仿宋" w:hAnsi="仿宋" w:eastAsia="仿宋" w:cs="仿宋"/>
          <w:color w:val="auto"/>
          <w:sz w:val="28"/>
          <w:szCs w:val="28"/>
          <w:highlight w:val="none"/>
          <w:lang w:val="en-US" w:eastAsia="zh-CN"/>
        </w:rPr>
      </w:pPr>
    </w:p>
    <w:p w14:paraId="4467B88F">
      <w:pPr>
        <w:pStyle w:val="23"/>
        <w:ind w:left="0" w:leftChars="0" w:firstLine="0" w:firstLineChars="0"/>
        <w:rPr>
          <w:rFonts w:hint="eastAsia" w:ascii="宋体" w:hAnsi="宋体" w:eastAsia="宋体" w:cs="宋体"/>
          <w:b/>
          <w:bCs/>
          <w:color w:val="auto"/>
          <w:sz w:val="20"/>
          <w:szCs w:val="20"/>
          <w:highlight w:val="none"/>
        </w:rPr>
      </w:pPr>
      <w:r>
        <w:rPr>
          <w:rFonts w:hint="eastAsia" w:ascii="仿宋_GB2312" w:hAnsi="仿宋_GB2312" w:eastAsia="仿宋_GB2312" w:cs="仿宋_GB2312"/>
          <w:b w:val="0"/>
          <w:bCs w:val="0"/>
          <w:color w:val="auto"/>
          <w:kern w:val="2"/>
          <w:sz w:val="28"/>
          <w:szCs w:val="28"/>
          <w:highlight w:val="none"/>
          <w:lang w:val="en-US" w:eastAsia="zh-CN" w:bidi="ar-SA"/>
        </w:rPr>
        <w:t>附件2</w:t>
      </w:r>
    </w:p>
    <w:p w14:paraId="3BD7D9EF">
      <w:pPr>
        <w:numPr>
          <w:ilvl w:val="0"/>
          <w:numId w:val="3"/>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授权委托书</w:t>
      </w:r>
    </w:p>
    <w:p w14:paraId="547B2F54">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（如授权委托参加开标会的）</w:t>
      </w:r>
    </w:p>
    <w:p w14:paraId="1CB11E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2" w:firstLineChars="200"/>
        <w:jc w:val="center"/>
        <w:textAlignment w:val="baseline"/>
        <w:rPr>
          <w:rFonts w:hint="eastAsia" w:asciiTheme="minorEastAsia" w:hAnsiTheme="minorEastAsia" w:eastAsiaTheme="minorEastAsia" w:cstheme="minorEastAsia"/>
          <w:b/>
          <w:bCs/>
          <w:color w:val="auto"/>
          <w:sz w:val="24"/>
          <w:szCs w:val="24"/>
          <w:highlight w:val="none"/>
          <w:u w:val="none"/>
          <w:lang w:val="en-US" w:eastAsia="zh-CN"/>
        </w:rPr>
      </w:pPr>
    </w:p>
    <w:p w14:paraId="2667AFD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 xml:space="preserve">本人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（姓名）系</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cstheme="minorEastAsia"/>
          <w:b w:val="0"/>
          <w:bCs w:val="0"/>
          <w:color w:val="auto"/>
          <w:sz w:val="24"/>
          <w:szCs w:val="24"/>
          <w:highlight w:val="none"/>
          <w:u w:val="none"/>
          <w:lang w:val="en-US" w:eastAsia="zh-CN"/>
        </w:rPr>
        <w:t>单位</w:t>
      </w:r>
      <w:r>
        <w:rPr>
          <w:rFonts w:hint="eastAsia" w:asciiTheme="minorEastAsia" w:hAnsiTheme="minorEastAsia" w:eastAsiaTheme="minorEastAsia" w:cstheme="minorEastAsia"/>
          <w:b w:val="0"/>
          <w:bCs w:val="0"/>
          <w:color w:val="auto"/>
          <w:sz w:val="24"/>
          <w:szCs w:val="24"/>
          <w:highlight w:val="none"/>
          <w:u w:val="none"/>
          <w:lang w:val="en-US" w:eastAsia="zh-CN"/>
        </w:rPr>
        <w:t>名称）的法定代表人，现委托</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（姓名）为我方委托代理人。委托代理人根据授权，以我方名义处理</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安庆桐城化工园区(稳定同位素产业园)-污水处理厂、事故应急池项目和安庆桐城化工园区(稳定同位素产业园)一北四路(龙池北路-东一路)建设工程及配套专用管廊项目跟踪审计服务 </w:t>
      </w:r>
      <w:r>
        <w:rPr>
          <w:rFonts w:hint="eastAsia" w:asciiTheme="minorEastAsia" w:hAnsiTheme="minorEastAsia" w:eastAsiaTheme="minorEastAsia" w:cstheme="minorEastAsia"/>
          <w:b w:val="0"/>
          <w:bCs w:val="0"/>
          <w:color w:val="auto"/>
          <w:sz w:val="24"/>
          <w:szCs w:val="24"/>
          <w:highlight w:val="none"/>
          <w:u w:val="none"/>
          <w:lang w:val="en-US" w:eastAsia="zh-CN"/>
        </w:rPr>
        <w:t>（项目名称）的比选响应</w:t>
      </w:r>
      <w:r>
        <w:rPr>
          <w:rFonts w:hint="eastAsia" w:asciiTheme="minorEastAsia" w:hAnsiTheme="minorEastAsia" w:cstheme="minorEastAsia"/>
          <w:b w:val="0"/>
          <w:bCs w:val="0"/>
          <w:color w:val="auto"/>
          <w:sz w:val="24"/>
          <w:szCs w:val="24"/>
          <w:highlight w:val="none"/>
          <w:u w:val="none"/>
          <w:lang w:val="en-US" w:eastAsia="zh-CN"/>
        </w:rPr>
        <w:t>文件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一切事宜，其法律后果由我方承担。委托代理人无转委托权，特此委托。 </w:t>
      </w:r>
    </w:p>
    <w:p w14:paraId="2FC056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本委托书自出具之日起生效</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 </w:t>
      </w:r>
    </w:p>
    <w:p w14:paraId="044B9B8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p>
    <w:p w14:paraId="5981EB0F">
      <w:pPr>
        <w:spacing w:line="360" w:lineRule="auto"/>
        <w:ind w:firstLine="435"/>
        <w:rPr>
          <w:rFonts w:hAnsi="宋体"/>
          <w:b/>
          <w:bCs/>
          <w:color w:val="auto"/>
          <w:sz w:val="24"/>
          <w:highlight w:val="none"/>
        </w:rPr>
      </w:pPr>
      <w:r>
        <w:rPr>
          <w:rFonts w:hint="eastAsia" w:hAnsi="宋体"/>
          <w:b/>
          <w:bCs/>
          <w:color w:val="auto"/>
          <w:sz w:val="24"/>
          <w:szCs w:val="28"/>
          <w:highlight w:val="none"/>
        </w:rPr>
        <w:t>委托</w:t>
      </w:r>
      <w:r>
        <w:rPr>
          <w:rFonts w:hint="eastAsia" w:asciiTheme="minorEastAsia" w:hAnsiTheme="minorEastAsia" w:eastAsiaTheme="minorEastAsia"/>
          <w:b/>
          <w:bCs/>
          <w:color w:val="auto"/>
          <w:sz w:val="24"/>
          <w:highlight w:val="none"/>
        </w:rPr>
        <w:t>代表</w:t>
      </w:r>
      <w:r>
        <w:rPr>
          <w:rFonts w:hint="eastAsia" w:hAnsi="宋体"/>
          <w:b/>
          <w:bCs/>
          <w:color w:val="auto"/>
          <w:sz w:val="24"/>
          <w:highlight w:val="none"/>
        </w:rPr>
        <w:t>身份证扫描件：</w:t>
      </w:r>
    </w:p>
    <w:p w14:paraId="2EBD05BF">
      <w:pPr>
        <w:pStyle w:val="23"/>
        <w:ind w:left="0" w:leftChars="0" w:firstLine="0" w:firstLineChars="0"/>
        <w:rPr>
          <w:color w:val="auto"/>
          <w:highlight w:val="none"/>
        </w:rPr>
      </w:pPr>
    </w:p>
    <w:p w14:paraId="739C0D68">
      <w:pPr>
        <w:spacing w:line="360" w:lineRule="auto"/>
        <w:ind w:firstLine="435"/>
        <w:rPr>
          <w:rFonts w:asciiTheme="minorEastAsia" w:hAnsiTheme="minorEastAsia" w:eastAsiaTheme="minorEastAsia"/>
          <w:color w:val="auto"/>
          <w:sz w:val="24"/>
          <w:highlight w:val="none"/>
        </w:rPr>
      </w:pPr>
    </w:p>
    <w:p w14:paraId="0E52BAC5">
      <w:pPr>
        <w:spacing w:line="360" w:lineRule="auto"/>
        <w:ind w:firstLine="435"/>
        <w:rPr>
          <w:rFonts w:hAnsi="宋体"/>
          <w:color w:val="auto"/>
          <w:sz w:val="24"/>
          <w:szCs w:val="28"/>
          <w:highlight w:val="none"/>
          <w:u w:val="single"/>
          <w:lang w:val="zh-CN"/>
        </w:rPr>
      </w:pP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hAnsi="宋体"/>
          <w:color w:val="auto"/>
          <w:sz w:val="24"/>
          <w:szCs w:val="28"/>
          <w:highlight w:val="none"/>
        </w:rPr>
        <w:t>代表联系方式：</w:t>
      </w:r>
      <w:r>
        <w:rPr>
          <w:rFonts w:hint="eastAsia" w:hAnsi="宋体"/>
          <w:color w:val="auto"/>
          <w:sz w:val="24"/>
          <w:szCs w:val="28"/>
          <w:highlight w:val="none"/>
          <w:u w:val="single"/>
        </w:rPr>
        <w:t xml:space="preserve">          （请填写手机号码）</w:t>
      </w:r>
    </w:p>
    <w:p w14:paraId="4D762A04">
      <w:pPr>
        <w:spacing w:line="360" w:lineRule="auto"/>
        <w:ind w:firstLine="435"/>
        <w:rPr>
          <w:rFonts w:hAnsi="宋体"/>
          <w:color w:val="auto"/>
          <w:sz w:val="24"/>
          <w:szCs w:val="28"/>
          <w:highlight w:val="none"/>
          <w:lang w:val="zh-CN"/>
        </w:rPr>
      </w:pPr>
    </w:p>
    <w:p w14:paraId="0F80E437">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26DA0D7E">
      <w:pPr>
        <w:spacing w:line="360" w:lineRule="auto"/>
        <w:rPr>
          <w:rFonts w:ascii="宋体" w:hAnsi="宋体"/>
          <w:color w:val="auto"/>
          <w:sz w:val="24"/>
          <w:szCs w:val="28"/>
          <w:highlight w:val="none"/>
        </w:rPr>
      </w:pPr>
    </w:p>
    <w:p w14:paraId="1A977D3B">
      <w:pPr>
        <w:spacing w:line="360" w:lineRule="auto"/>
        <w:ind w:firstLine="435"/>
        <w:rPr>
          <w:rFonts w:asciiTheme="minorEastAsia" w:hAnsiTheme="minorEastAsia" w:eastAsiaTheme="minorEastAsia"/>
          <w:color w:val="auto"/>
          <w:sz w:val="24"/>
          <w:highlight w:val="none"/>
        </w:rPr>
      </w:pPr>
    </w:p>
    <w:p w14:paraId="48959EC4">
      <w:pPr>
        <w:spacing w:line="360" w:lineRule="auto"/>
        <w:rPr>
          <w:rFonts w:hint="default"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color w:val="auto"/>
          <w:sz w:val="24"/>
          <w:highlight w:val="none"/>
          <w:lang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asciiTheme="minorEastAsia" w:hAnsiTheme="minorEastAsia" w:eastAsiaTheme="minorEastAsia"/>
          <w:color w:val="auto"/>
          <w:sz w:val="24"/>
          <w:highlight w:val="none"/>
        </w:rPr>
        <w:t>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b/>
          <w:bCs/>
          <w:color w:val="auto"/>
          <w:sz w:val="24"/>
          <w:highlight w:val="none"/>
          <w:lang w:eastAsia="zh-CN"/>
        </w:rPr>
        <w:t>。</w:t>
      </w:r>
    </w:p>
    <w:p w14:paraId="7071F5FA">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3377E263">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2DA69787">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633B9A8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（盖</w:t>
      </w:r>
      <w:r>
        <w:rPr>
          <w:rFonts w:hint="eastAsia" w:asciiTheme="minorEastAsia" w:hAnsiTheme="minorEastAsia" w:cstheme="minorEastAsia"/>
          <w:b w:val="0"/>
          <w:bCs w:val="0"/>
          <w:color w:val="auto"/>
          <w:sz w:val="24"/>
          <w:szCs w:val="24"/>
          <w:highlight w:val="none"/>
          <w:u w:val="none"/>
          <w:lang w:val="en-US" w:eastAsia="zh-CN"/>
        </w:rPr>
        <w:t>公</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章） </w:t>
      </w:r>
    </w:p>
    <w:p w14:paraId="412C7D8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委托代理人：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（签字或盖章）</w:t>
      </w:r>
    </w:p>
    <w:p w14:paraId="541A2F4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宋体" w:hAnsi="宋体" w:eastAsia="宋体" w:cs="宋体"/>
          <w:color w:val="auto"/>
          <w:sz w:val="30"/>
          <w:szCs w:val="30"/>
          <w:highlight w:val="none"/>
          <w:lang w:val="en-US" w:eastAsia="zh-CN" w:bidi="ar"/>
        </w:rPr>
      </w:pPr>
      <w:r>
        <w:rPr>
          <w:rFonts w:hint="eastAsia" w:asciiTheme="minorEastAsia" w:hAnsiTheme="minorEastAsia" w:eastAsiaTheme="minorEastAsia" w:cstheme="minorEastAsia"/>
          <w:b w:val="0"/>
          <w:bCs w:val="0"/>
          <w:color w:val="auto"/>
          <w:sz w:val="24"/>
          <w:szCs w:val="24"/>
          <w:highlight w:val="none"/>
          <w:u w:val="none"/>
          <w:lang w:val="en-US" w:eastAsia="zh-CN"/>
        </w:rPr>
        <w:t>授权委托日期：</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年</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月</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日</w:t>
      </w:r>
    </w:p>
    <w:p w14:paraId="5967F2D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2D83A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2D0FFD">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381B05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6F49D0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F50DC7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D144E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D9D184B">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2700593">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92656F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8812BF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CC86DF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B64BB71">
      <w:pPr>
        <w:numPr>
          <w:ilvl w:val="0"/>
          <w:numId w:val="4"/>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营业执照</w:t>
      </w:r>
    </w:p>
    <w:p w14:paraId="52EC0710">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09EE3F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8456B3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A9C4B4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574BFF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A64CC1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5DECA5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222EB4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3E57A7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FF057D2">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6B84E5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6A75BA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12255E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B8EAC50">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6FD949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20E7B7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E67624B">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5DA65D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F87AE3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608C08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3901BE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B0492F4">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33055E7">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A15C9B4">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9E8110B">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4167648">
      <w:pPr>
        <w:numPr>
          <w:ilvl w:val="0"/>
          <w:numId w:val="4"/>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投标人良好信誉证明</w:t>
      </w:r>
    </w:p>
    <w:p w14:paraId="2FAFE9B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8779B0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C67DE8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C9FEFCC">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40F7D4A">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6DA327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9BEFDF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2D740C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590687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64F8F5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136194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50140D7">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A30ABA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5539066">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4FE194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C4E054A">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11EFA4E">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5、服务内容及要求响应表</w:t>
      </w:r>
    </w:p>
    <w:p w14:paraId="72936169">
      <w:pPr>
        <w:snapToGrid w:val="0"/>
        <w:spacing w:line="360" w:lineRule="auto"/>
        <w:jc w:val="left"/>
        <w:rPr>
          <w:rFonts w:hint="eastAsia" w:ascii="宋体" w:hAnsi="宋体" w:eastAsia="宋体" w:cs="宋体"/>
          <w:b/>
          <w:bCs/>
          <w:color w:val="auto"/>
          <w:sz w:val="24"/>
          <w:szCs w:val="24"/>
          <w:highlight w:val="none"/>
          <w:lang w:bidi="ar"/>
        </w:rPr>
      </w:pPr>
    </w:p>
    <w:p w14:paraId="3F7A78C2">
      <w:pPr>
        <w:snapToGrid w:val="0"/>
        <w:spacing w:after="156" w:afterLines="50" w:line="360" w:lineRule="auto"/>
        <w:ind w:firstLine="482" w:firstLineChars="200"/>
        <w:jc w:val="left"/>
        <w:rPr>
          <w:rFonts w:hint="eastAsia" w:ascii="宋体" w:hAnsi="宋体" w:eastAsia="宋体" w:cs="宋体"/>
          <w:b/>
          <w:bCs/>
          <w:color w:val="auto"/>
          <w:sz w:val="24"/>
          <w:szCs w:val="24"/>
          <w:highlight w:val="none"/>
          <w:lang w:bidi="ar"/>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8"/>
          <w:szCs w:val="28"/>
          <w:highlight w:val="none"/>
          <w:u w:val="single"/>
          <w:lang w:val="en-US" w:eastAsia="zh-CN"/>
        </w:rPr>
        <w:t>安庆桐城化工园区(稳定同位素产业园)-污水处理厂、事故应急池项目和安庆桐城化工园区(稳定同位素产业园)一北四路(龙池北路-东一路)建设工程及配套专用管廊项目跟踪审计服务</w:t>
      </w:r>
    </w:p>
    <w:tbl>
      <w:tblPr>
        <w:tblStyle w:val="18"/>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222"/>
        <w:gridCol w:w="4227"/>
      </w:tblGrid>
      <w:tr w14:paraId="02A3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298AA9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169689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服务内容及要求</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F2AC1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响应服务内容及要求</w:t>
            </w:r>
          </w:p>
        </w:tc>
      </w:tr>
      <w:tr w14:paraId="7733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381F8C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1</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0235A0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详见比选文件</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68EE24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我方完全响应比选文件所有内容</w:t>
            </w:r>
          </w:p>
        </w:tc>
      </w:tr>
    </w:tbl>
    <w:p w14:paraId="73709F8A">
      <w:pPr>
        <w:spacing w:line="360" w:lineRule="auto"/>
        <w:rPr>
          <w:rFonts w:hint="eastAsia" w:ascii="宋体" w:hAnsi="宋体" w:eastAsia="宋体" w:cs="宋体"/>
          <w:color w:val="auto"/>
          <w:sz w:val="24"/>
          <w:szCs w:val="24"/>
          <w:highlight w:val="none"/>
        </w:rPr>
      </w:pPr>
    </w:p>
    <w:p w14:paraId="711C0FEF">
      <w:pPr>
        <w:pStyle w:val="16"/>
        <w:widowControl/>
        <w:ind w:firstLine="280"/>
        <w:rPr>
          <w:rFonts w:hint="eastAsia" w:ascii="宋体" w:hAnsi="宋体" w:eastAsia="宋体" w:cs="宋体"/>
          <w:color w:val="auto"/>
          <w:sz w:val="24"/>
          <w:szCs w:val="24"/>
          <w:highlight w:val="none"/>
        </w:rPr>
      </w:pPr>
    </w:p>
    <w:p w14:paraId="633C635E">
      <w:pPr>
        <w:pStyle w:val="16"/>
        <w:widowControl/>
        <w:ind w:firstLine="280"/>
        <w:rPr>
          <w:rFonts w:hint="eastAsia" w:ascii="宋体" w:hAnsi="宋体" w:eastAsia="宋体" w:cs="宋体"/>
          <w:color w:val="auto"/>
          <w:sz w:val="24"/>
          <w:szCs w:val="24"/>
          <w:highlight w:val="none"/>
        </w:rPr>
      </w:pPr>
    </w:p>
    <w:p w14:paraId="5FB8EC02">
      <w:pPr>
        <w:pStyle w:val="16"/>
        <w:widowControl/>
        <w:ind w:firstLine="280"/>
        <w:rPr>
          <w:rFonts w:hint="eastAsia" w:ascii="宋体" w:hAnsi="宋体" w:eastAsia="宋体" w:cs="宋体"/>
          <w:color w:val="auto"/>
          <w:sz w:val="24"/>
          <w:szCs w:val="24"/>
          <w:highlight w:val="none"/>
        </w:rPr>
      </w:pPr>
    </w:p>
    <w:p w14:paraId="712634B8">
      <w:pPr>
        <w:pStyle w:val="16"/>
        <w:widowControl/>
        <w:ind w:firstLine="280"/>
        <w:rPr>
          <w:rFonts w:hint="eastAsia" w:ascii="宋体" w:hAnsi="宋体" w:eastAsia="宋体" w:cs="宋体"/>
          <w:color w:val="auto"/>
          <w:sz w:val="24"/>
          <w:szCs w:val="24"/>
          <w:highlight w:val="none"/>
        </w:rPr>
      </w:pPr>
    </w:p>
    <w:p w14:paraId="4EF92C10">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2640" w:firstLineChars="1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 xml:space="preserve">章） </w:t>
      </w:r>
    </w:p>
    <w:p w14:paraId="7C0303AF">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2640" w:firstLineChars="1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97EE51B">
      <w:pPr>
        <w:pStyle w:val="15"/>
        <w:keepNext w:val="0"/>
        <w:keepLines w:val="0"/>
        <w:pageBreakBefore w:val="0"/>
        <w:widowControl/>
        <w:wordWrap/>
        <w:overflowPunct/>
        <w:topLinePunct w:val="0"/>
        <w:bidi w:val="0"/>
        <w:spacing w:beforeAutospacing="0" w:afterAutospacing="0" w:line="700" w:lineRule="exact"/>
        <w:jc w:val="right"/>
        <w:rPr>
          <w:rFonts w:hint="eastAsia" w:ascii="宋体" w:hAnsi="宋体" w:eastAsia="宋体" w:cs="宋体"/>
          <w:color w:val="auto"/>
          <w:sz w:val="36"/>
          <w:szCs w:val="36"/>
          <w:highlight w:val="none"/>
        </w:rPr>
      </w:pPr>
      <w:r>
        <w:rPr>
          <w:rFonts w:hint="eastAsia" w:ascii="宋体" w:hAnsi="宋体" w:eastAsia="宋体" w:cs="宋体"/>
          <w:b w:val="0"/>
          <w:bCs w:val="0"/>
          <w:color w:val="auto"/>
          <w:sz w:val="24"/>
          <w:szCs w:val="24"/>
          <w:highlight w:val="none"/>
          <w:lang w:bidi="ar"/>
        </w:rPr>
        <w:t>年   月   日</w:t>
      </w:r>
    </w:p>
    <w:p w14:paraId="77BE6D1C">
      <w:pPr>
        <w:rPr>
          <w:rFonts w:hint="eastAsia" w:ascii="仿宋" w:hAnsi="仿宋" w:eastAsia="仿宋" w:cs="仿宋"/>
          <w:color w:val="auto"/>
          <w:sz w:val="28"/>
          <w:szCs w:val="28"/>
          <w:highlight w:val="none"/>
          <w:lang w:val="en-US" w:eastAsia="zh-CN"/>
        </w:rPr>
      </w:pPr>
    </w:p>
    <w:p w14:paraId="30E91037">
      <w:pPr>
        <w:rPr>
          <w:rFonts w:hint="eastAsia" w:ascii="仿宋" w:hAnsi="仿宋" w:eastAsia="仿宋" w:cs="仿宋"/>
          <w:color w:val="auto"/>
          <w:sz w:val="28"/>
          <w:szCs w:val="28"/>
          <w:highlight w:val="none"/>
          <w:lang w:val="en-US" w:eastAsia="zh-CN"/>
        </w:rPr>
      </w:pPr>
    </w:p>
    <w:p w14:paraId="007BF8E4">
      <w:pPr>
        <w:rPr>
          <w:rFonts w:hint="eastAsia" w:ascii="仿宋" w:hAnsi="仿宋" w:eastAsia="仿宋" w:cs="仿宋"/>
          <w:color w:val="auto"/>
          <w:sz w:val="28"/>
          <w:szCs w:val="28"/>
          <w:highlight w:val="none"/>
          <w:lang w:val="en-US" w:eastAsia="zh-CN"/>
        </w:rPr>
      </w:pPr>
    </w:p>
    <w:p w14:paraId="06A8A264">
      <w:pPr>
        <w:rPr>
          <w:rFonts w:hint="eastAsia" w:ascii="仿宋" w:hAnsi="仿宋" w:eastAsia="仿宋" w:cs="仿宋"/>
          <w:color w:val="auto"/>
          <w:sz w:val="28"/>
          <w:szCs w:val="28"/>
          <w:highlight w:val="none"/>
          <w:lang w:val="en-US" w:eastAsia="zh-CN"/>
        </w:rPr>
      </w:pPr>
    </w:p>
    <w:p w14:paraId="18367AD9">
      <w:pPr>
        <w:rPr>
          <w:rFonts w:hint="eastAsia" w:ascii="仿宋" w:hAnsi="仿宋" w:eastAsia="仿宋" w:cs="仿宋"/>
          <w:color w:val="auto"/>
          <w:sz w:val="28"/>
          <w:szCs w:val="28"/>
          <w:highlight w:val="none"/>
          <w:lang w:val="en-US" w:eastAsia="zh-CN"/>
        </w:rPr>
      </w:pPr>
    </w:p>
    <w:p w14:paraId="10F7AD08">
      <w:pPr>
        <w:rPr>
          <w:rFonts w:hint="eastAsia" w:ascii="仿宋" w:hAnsi="仿宋" w:eastAsia="仿宋" w:cs="仿宋"/>
          <w:color w:val="auto"/>
          <w:sz w:val="28"/>
          <w:szCs w:val="28"/>
          <w:highlight w:val="none"/>
          <w:lang w:val="en-US" w:eastAsia="zh-CN"/>
        </w:rPr>
      </w:pPr>
    </w:p>
    <w:p w14:paraId="056ABC67">
      <w:pPr>
        <w:pStyle w:val="15"/>
        <w:widowControl/>
        <w:spacing w:beforeAutospacing="0" w:afterAutospacing="0" w:line="280" w:lineRule="atLeast"/>
        <w:jc w:val="right"/>
        <w:rPr>
          <w:rFonts w:hint="eastAsia" w:ascii="宋体" w:hAnsi="宋体" w:eastAsia="宋体" w:cs="宋体"/>
          <w:b/>
          <w:bCs/>
          <w:color w:val="auto"/>
          <w:sz w:val="44"/>
          <w:szCs w:val="44"/>
          <w:highlight w:val="none"/>
        </w:rPr>
      </w:pPr>
      <w:r>
        <w:rPr>
          <w:rFonts w:hint="eastAsia" w:ascii="宋体" w:hAnsi="宋体" w:eastAsia="宋体" w:cs="宋体"/>
          <w:color w:val="auto"/>
          <w:sz w:val="36"/>
          <w:szCs w:val="36"/>
          <w:highlight w:val="none"/>
        </w:rPr>
        <w:t>正本（副本）</w:t>
      </w:r>
    </w:p>
    <w:p w14:paraId="23989546">
      <w:pPr>
        <w:widowControl/>
        <w:jc w:val="left"/>
        <w:rPr>
          <w:rFonts w:hint="eastAsia" w:ascii="宋体" w:hAnsi="宋体" w:eastAsia="宋体" w:cs="宋体"/>
          <w:color w:val="auto"/>
          <w:highlight w:val="none"/>
        </w:rPr>
      </w:pPr>
    </w:p>
    <w:p w14:paraId="3F40E56A">
      <w:pPr>
        <w:ind w:firstLine="400" w:firstLineChars="100"/>
        <w:jc w:val="center"/>
        <w:rPr>
          <w:rFonts w:hint="eastAsia" w:ascii="宋体" w:hAnsi="宋体" w:eastAsia="宋体" w:cs="宋体"/>
          <w:b/>
          <w:bCs/>
          <w:color w:val="auto"/>
          <w:sz w:val="52"/>
          <w:szCs w:val="52"/>
          <w:highlight w:val="none"/>
        </w:rPr>
      </w:pPr>
      <w:r>
        <w:rPr>
          <w:rFonts w:hint="eastAsia" w:ascii="宋体" w:hAnsi="宋体" w:eastAsia="宋体" w:cs="宋体"/>
          <w:color w:val="auto"/>
          <w:sz w:val="40"/>
          <w:szCs w:val="40"/>
          <w:highlight w:val="none"/>
          <w:u w:val="single"/>
          <w:lang w:val="en-US" w:eastAsia="zh-CN"/>
        </w:rPr>
        <w:t>安庆桐城化工园区(稳定同位素产业园)-污水处理厂、事故应急池项目和安庆桐城化工园区(稳定同位素产业园)一北四路(龙池北路-东一路)建设工程及配套专用管廊项目跟踪审计服务</w:t>
      </w:r>
    </w:p>
    <w:p w14:paraId="5A9A0A6D">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73751FDD">
      <w:pPr>
        <w:pStyle w:val="23"/>
        <w:rPr>
          <w:color w:val="auto"/>
          <w:highlight w:val="none"/>
        </w:rPr>
      </w:pPr>
    </w:p>
    <w:p w14:paraId="7B4B5983">
      <w:pPr>
        <w:pStyle w:val="17"/>
        <w:ind w:firstLine="0" w:firstLineChars="0"/>
        <w:rPr>
          <w:color w:val="auto"/>
          <w:highlight w:val="none"/>
        </w:rPr>
      </w:pPr>
    </w:p>
    <w:p w14:paraId="105D5DF6">
      <w:pPr>
        <w:pStyle w:val="17"/>
        <w:ind w:firstLine="640"/>
        <w:rPr>
          <w:color w:val="auto"/>
          <w:highlight w:val="none"/>
        </w:rPr>
      </w:pPr>
    </w:p>
    <w:p w14:paraId="6AA73B99">
      <w:pPr>
        <w:pStyle w:val="17"/>
        <w:ind w:left="0" w:leftChars="0" w:firstLine="0" w:firstLineChars="0"/>
        <w:rPr>
          <w:color w:val="auto"/>
          <w:highlight w:val="none"/>
        </w:rPr>
      </w:pPr>
    </w:p>
    <w:p w14:paraId="468AE743">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4"/>
          <w:szCs w:val="24"/>
          <w:highlight w:val="none"/>
          <w:u w:val="single"/>
          <w:lang w:val="en-US" w:eastAsia="zh-CN"/>
        </w:rPr>
        <w:t>安庆桐城化工园区(稳定同位素产业园)-污水处理厂、事故应急池项目和安庆桐城化工园区(稳定同位素产业园)一北四路(龙池北路-东一路)建设工程及配套专用管廊项目跟踪审计服务</w:t>
      </w:r>
      <w:r>
        <w:rPr>
          <w:rFonts w:hint="eastAsia" w:ascii="宋体" w:hAnsi="宋体" w:eastAsia="宋体" w:cs="宋体"/>
          <w:color w:val="auto"/>
          <w:sz w:val="24"/>
          <w:szCs w:val="24"/>
          <w:highlight w:val="none"/>
          <w:u w:val="single"/>
        </w:rPr>
        <w:t xml:space="preserve"> </w:t>
      </w:r>
    </w:p>
    <w:p w14:paraId="65ABA8C6">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技术部分                  </w:t>
      </w:r>
    </w:p>
    <w:p w14:paraId="41AE54F5">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比选响应人： </w:t>
      </w:r>
      <w:r>
        <w:rPr>
          <w:rFonts w:hint="eastAsia" w:ascii="宋体" w:hAnsi="宋体" w:eastAsia="宋体" w:cs="宋体"/>
          <w:color w:val="auto"/>
          <w:sz w:val="28"/>
          <w:szCs w:val="28"/>
          <w:highlight w:val="none"/>
          <w:u w:val="single"/>
        </w:rPr>
        <w:t xml:space="preserve">                                 （盖章）</w:t>
      </w:r>
      <w:r>
        <w:rPr>
          <w:rFonts w:hint="eastAsia" w:ascii="宋体" w:hAnsi="宋体" w:eastAsia="宋体" w:cs="宋体"/>
          <w:color w:val="auto"/>
          <w:sz w:val="28"/>
          <w:szCs w:val="28"/>
          <w:highlight w:val="none"/>
        </w:rPr>
        <w:t xml:space="preserve">    </w:t>
      </w:r>
    </w:p>
    <w:p w14:paraId="679F8F67">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264BA719">
      <w:pPr>
        <w:spacing w:line="800" w:lineRule="exact"/>
        <w:ind w:left="420" w:leftChars="200"/>
        <w:rPr>
          <w:rFonts w:hint="eastAsia" w:ascii="宋体" w:hAnsi="宋体" w:eastAsia="宋体" w:cs="宋体"/>
          <w:color w:val="auto"/>
          <w:highlight w:val="none"/>
          <w:lang w:bidi="ar"/>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98E429A">
      <w:pPr>
        <w:jc w:val="both"/>
        <w:rPr>
          <w:rFonts w:hint="eastAsia"/>
          <w:color w:val="auto"/>
          <w:sz w:val="32"/>
          <w:szCs w:val="32"/>
          <w:highlight w:val="none"/>
        </w:rPr>
      </w:pPr>
    </w:p>
    <w:p w14:paraId="0E0A8840">
      <w:pPr>
        <w:jc w:val="center"/>
        <w:rPr>
          <w:rFonts w:hint="eastAsia"/>
          <w:color w:val="auto"/>
          <w:sz w:val="32"/>
          <w:szCs w:val="32"/>
          <w:highlight w:val="none"/>
        </w:rPr>
      </w:pPr>
    </w:p>
    <w:p w14:paraId="504AF830">
      <w:pPr>
        <w:pStyle w:val="6"/>
        <w:jc w:val="right"/>
        <w:rPr>
          <w:rFonts w:hint="eastAsia" w:ascii="宋体" w:hAnsi="宋体" w:eastAsia="宋体" w:cs="宋体"/>
          <w:color w:val="auto"/>
          <w:sz w:val="36"/>
          <w:szCs w:val="36"/>
          <w:highlight w:val="none"/>
        </w:rPr>
      </w:pPr>
    </w:p>
    <w:p w14:paraId="59B7757F">
      <w:pPr>
        <w:pStyle w:val="6"/>
        <w:jc w:val="right"/>
        <w:rPr>
          <w:rFonts w:hint="eastAsia" w:ascii="宋体" w:hAnsi="宋体" w:eastAsia="宋体" w:cs="宋体"/>
          <w:color w:val="auto"/>
          <w:sz w:val="36"/>
          <w:szCs w:val="36"/>
          <w:highlight w:val="none"/>
        </w:rPr>
      </w:pPr>
    </w:p>
    <w:p w14:paraId="3E7BDED2">
      <w:pPr>
        <w:pStyle w:val="6"/>
        <w:jc w:val="center"/>
        <w:rPr>
          <w:rFonts w:hint="eastAsia" w:ascii="宋体" w:hAnsi="宋体"/>
          <w:bCs/>
          <w:color w:val="auto"/>
          <w:sz w:val="28"/>
          <w:szCs w:val="28"/>
          <w:highlight w:val="none"/>
        </w:rPr>
      </w:pPr>
    </w:p>
    <w:p w14:paraId="26741B94">
      <w:pPr>
        <w:pStyle w:val="6"/>
        <w:jc w:val="center"/>
        <w:rPr>
          <w:rFonts w:hint="eastAsia" w:ascii="宋体" w:hAnsi="宋体"/>
          <w:bCs/>
          <w:color w:val="auto"/>
          <w:sz w:val="28"/>
          <w:szCs w:val="28"/>
          <w:highlight w:val="none"/>
        </w:rPr>
      </w:pPr>
    </w:p>
    <w:p w14:paraId="5AA1FF57">
      <w:pPr>
        <w:pStyle w:val="6"/>
        <w:jc w:val="center"/>
        <w:rPr>
          <w:rFonts w:hint="eastAsia" w:ascii="宋体" w:hAnsi="宋体"/>
          <w:bCs/>
          <w:color w:val="auto"/>
          <w:sz w:val="28"/>
          <w:szCs w:val="28"/>
          <w:highlight w:val="none"/>
        </w:rPr>
      </w:pPr>
    </w:p>
    <w:p w14:paraId="4B33F403">
      <w:pPr>
        <w:pStyle w:val="6"/>
        <w:jc w:val="center"/>
        <w:rPr>
          <w:rFonts w:hint="eastAsia" w:ascii="宋体" w:hAnsi="宋体"/>
          <w:bCs/>
          <w:color w:val="auto"/>
          <w:sz w:val="28"/>
          <w:szCs w:val="28"/>
          <w:highlight w:val="none"/>
        </w:rPr>
      </w:pPr>
    </w:p>
    <w:p w14:paraId="38292CDE">
      <w:pPr>
        <w:pStyle w:val="6"/>
        <w:jc w:val="center"/>
        <w:rPr>
          <w:rFonts w:hint="eastAsia" w:ascii="宋体" w:hAnsi="宋体"/>
          <w:bCs/>
          <w:color w:val="auto"/>
          <w:sz w:val="28"/>
          <w:szCs w:val="28"/>
          <w:highlight w:val="none"/>
        </w:rPr>
      </w:pPr>
    </w:p>
    <w:p w14:paraId="5CC70556">
      <w:pPr>
        <w:pStyle w:val="6"/>
        <w:jc w:val="center"/>
        <w:rPr>
          <w:rFonts w:hint="eastAsia" w:ascii="宋体" w:hAnsi="宋体"/>
          <w:bCs/>
          <w:color w:val="auto"/>
          <w:sz w:val="28"/>
          <w:szCs w:val="28"/>
          <w:highlight w:val="none"/>
        </w:rPr>
      </w:pPr>
      <w:r>
        <w:rPr>
          <w:rFonts w:hint="eastAsia" w:ascii="宋体" w:hAnsi="宋体"/>
          <w:bCs/>
          <w:color w:val="auto"/>
          <w:sz w:val="28"/>
          <w:szCs w:val="28"/>
          <w:highlight w:val="none"/>
        </w:rPr>
        <w:t>根据评分标准要求提供材料，格式自理。</w:t>
      </w:r>
    </w:p>
    <w:p w14:paraId="5850491E">
      <w:pPr>
        <w:pStyle w:val="15"/>
        <w:widowControl/>
        <w:spacing w:beforeAutospacing="0" w:afterAutospacing="0" w:line="280" w:lineRule="atLeast"/>
        <w:jc w:val="both"/>
        <w:rPr>
          <w:rFonts w:hint="eastAsia" w:ascii="宋体" w:hAnsi="宋体" w:eastAsia="宋体" w:cs="宋体"/>
          <w:color w:val="auto"/>
          <w:sz w:val="36"/>
          <w:szCs w:val="36"/>
          <w:highlight w:val="none"/>
        </w:rPr>
      </w:pPr>
    </w:p>
    <w:p w14:paraId="15434909">
      <w:pPr>
        <w:pStyle w:val="15"/>
        <w:widowControl/>
        <w:spacing w:beforeAutospacing="0" w:afterAutospacing="0" w:line="280" w:lineRule="atLeast"/>
        <w:jc w:val="center"/>
        <w:rPr>
          <w:rFonts w:hint="eastAsia" w:ascii="宋体" w:hAnsi="宋体" w:eastAsia="宋体" w:cs="宋体"/>
          <w:color w:val="auto"/>
          <w:sz w:val="36"/>
          <w:szCs w:val="36"/>
          <w:highlight w:val="none"/>
        </w:rPr>
      </w:pPr>
    </w:p>
    <w:p w14:paraId="44CC4D46">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398D870C">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70684F4F">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164EF064">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07B5CF0F">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7673DB55">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27E30BAE">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674E1C64">
      <w:pPr>
        <w:pStyle w:val="15"/>
        <w:widowControl/>
        <w:spacing w:beforeAutospacing="0" w:afterAutospacing="0" w:line="280" w:lineRule="atLeast"/>
        <w:jc w:val="both"/>
        <w:rPr>
          <w:rFonts w:hint="eastAsia" w:ascii="宋体" w:hAnsi="宋体" w:eastAsia="宋体" w:cs="宋体"/>
          <w:color w:val="auto"/>
          <w:sz w:val="36"/>
          <w:szCs w:val="36"/>
          <w:highlight w:val="none"/>
        </w:rPr>
      </w:pPr>
    </w:p>
    <w:p w14:paraId="78F0219E">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4A45F3A1">
      <w:pPr>
        <w:pStyle w:val="15"/>
        <w:widowControl/>
        <w:spacing w:beforeAutospacing="0" w:afterAutospacing="0" w:line="280" w:lineRule="atLeast"/>
        <w:jc w:val="righ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正本（副本）</w:t>
      </w:r>
    </w:p>
    <w:p w14:paraId="6A996C7F">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55C11EC9">
      <w:pPr>
        <w:widowControl/>
        <w:jc w:val="center"/>
        <w:rPr>
          <w:color w:val="auto"/>
          <w:highlight w:val="none"/>
        </w:rPr>
      </w:pPr>
    </w:p>
    <w:p w14:paraId="5AC3D78F">
      <w:pPr>
        <w:jc w:val="center"/>
        <w:rPr>
          <w:rFonts w:hint="eastAsia" w:ascii="宋体" w:hAnsi="宋体" w:eastAsia="宋体" w:cs="宋体"/>
          <w:bCs/>
          <w:color w:val="auto"/>
          <w:sz w:val="44"/>
          <w:szCs w:val="44"/>
          <w:highlight w:val="none"/>
        </w:rPr>
      </w:pPr>
      <w:r>
        <w:rPr>
          <w:rFonts w:hint="eastAsia" w:ascii="仿宋" w:hAnsi="仿宋" w:eastAsia="仿宋" w:cs="仿宋"/>
          <w:color w:val="auto"/>
          <w:sz w:val="40"/>
          <w:szCs w:val="40"/>
          <w:highlight w:val="none"/>
          <w:u w:val="single"/>
          <w:lang w:val="en-US" w:eastAsia="zh-CN"/>
        </w:rPr>
        <w:t>安庆桐城化工园区(稳定同位素产业园)-污水处理厂、事故应急池项目和安庆桐城化工园区(稳定同位素产业园)一北四路(龙池北路-东一路)建设工程及配套专用管廊项目跟踪审计服务</w:t>
      </w:r>
    </w:p>
    <w:p w14:paraId="440600FD">
      <w:pPr>
        <w:jc w:val="center"/>
        <w:rPr>
          <w:rFonts w:hint="eastAsia" w:ascii="楷体" w:hAnsi="楷体" w:eastAsia="楷体" w:cs="楷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36E81242">
      <w:pPr>
        <w:spacing w:line="800" w:lineRule="exact"/>
        <w:ind w:left="1820" w:leftChars="200" w:hanging="1400" w:hangingChars="500"/>
        <w:rPr>
          <w:rFonts w:hint="eastAsia" w:ascii="宋体" w:hAnsi="宋体" w:eastAsia="宋体" w:cs="宋体"/>
          <w:color w:val="auto"/>
          <w:sz w:val="28"/>
          <w:szCs w:val="28"/>
          <w:highlight w:val="none"/>
        </w:rPr>
      </w:pPr>
    </w:p>
    <w:p w14:paraId="03216D42">
      <w:pPr>
        <w:spacing w:line="800" w:lineRule="exact"/>
        <w:ind w:left="1820" w:leftChars="200" w:hanging="1400" w:hangingChars="500"/>
        <w:rPr>
          <w:rFonts w:hint="eastAsia" w:ascii="宋体" w:hAnsi="宋体" w:eastAsia="宋体" w:cs="宋体"/>
          <w:color w:val="auto"/>
          <w:sz w:val="28"/>
          <w:szCs w:val="28"/>
          <w:highlight w:val="none"/>
        </w:rPr>
      </w:pPr>
    </w:p>
    <w:p w14:paraId="642EE844">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4"/>
          <w:szCs w:val="24"/>
          <w:highlight w:val="none"/>
          <w:u w:val="single"/>
          <w:lang w:val="en-US" w:eastAsia="zh-CN"/>
        </w:rPr>
        <w:t>安庆桐城化工园区(稳定同位素产业园)-污水处理厂、事故应急池项目和安庆桐城化工园区(稳定同位素产业园)一北四路(龙池北路-东一路)建设工程及配套专用管廊项目跟踪审计服务</w:t>
      </w:r>
      <w:r>
        <w:rPr>
          <w:rFonts w:hint="eastAsia" w:ascii="宋体" w:hAnsi="宋体" w:eastAsia="宋体" w:cs="宋体"/>
          <w:color w:val="auto"/>
          <w:sz w:val="24"/>
          <w:szCs w:val="24"/>
          <w:highlight w:val="none"/>
          <w:u w:val="single"/>
        </w:rPr>
        <w:t xml:space="preserve"> </w:t>
      </w:r>
    </w:p>
    <w:p w14:paraId="613E1977">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商务部分                  </w:t>
      </w:r>
    </w:p>
    <w:p w14:paraId="0CDBAE4F">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比选响应人</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（盖</w:t>
      </w:r>
      <w:r>
        <w:rPr>
          <w:rFonts w:hint="eastAsia" w:ascii="宋体" w:hAnsi="宋体" w:eastAsia="宋体" w:cs="宋体"/>
          <w:color w:val="auto"/>
          <w:sz w:val="28"/>
          <w:szCs w:val="28"/>
          <w:highlight w:val="none"/>
          <w:u w:val="single"/>
          <w:lang w:val="en-US" w:eastAsia="zh-CN"/>
        </w:rPr>
        <w:t>公</w:t>
      </w:r>
      <w:r>
        <w:rPr>
          <w:rFonts w:hint="eastAsia" w:ascii="宋体" w:hAnsi="宋体" w:eastAsia="宋体" w:cs="宋体"/>
          <w:color w:val="auto"/>
          <w:sz w:val="28"/>
          <w:szCs w:val="28"/>
          <w:highlight w:val="none"/>
          <w:u w:val="single"/>
        </w:rPr>
        <w:t>章）</w:t>
      </w:r>
      <w:r>
        <w:rPr>
          <w:rFonts w:hint="eastAsia" w:ascii="宋体" w:hAnsi="宋体" w:eastAsia="宋体" w:cs="宋体"/>
          <w:color w:val="auto"/>
          <w:sz w:val="28"/>
          <w:szCs w:val="28"/>
          <w:highlight w:val="none"/>
        </w:rPr>
        <w:t xml:space="preserve">    </w:t>
      </w:r>
    </w:p>
    <w:p w14:paraId="08910DEA">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42BF97E4">
      <w:pPr>
        <w:tabs>
          <w:tab w:val="left" w:pos="1440"/>
          <w:tab w:val="left" w:pos="8280"/>
        </w:tabs>
        <w:spacing w:line="800" w:lineRule="exact"/>
        <w:ind w:left="420" w:left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339F0C6">
      <w:pPr>
        <w:rPr>
          <w:rFonts w:hint="eastAsia" w:ascii="仿宋" w:hAnsi="仿宋" w:eastAsia="仿宋" w:cs="仿宋"/>
          <w:color w:val="auto"/>
          <w:sz w:val="28"/>
          <w:szCs w:val="28"/>
          <w:highlight w:val="none"/>
          <w:lang w:val="en-US" w:eastAsia="zh-CN"/>
        </w:rPr>
      </w:pPr>
    </w:p>
    <w:p w14:paraId="334CB54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58BC978">
      <w:pPr>
        <w:jc w:val="center"/>
        <w:rPr>
          <w:rFonts w:hint="eastAsia"/>
          <w:color w:val="auto"/>
          <w:sz w:val="36"/>
          <w:szCs w:val="36"/>
          <w:highlight w:val="none"/>
        </w:rPr>
      </w:pPr>
    </w:p>
    <w:p w14:paraId="6390F1D0">
      <w:pPr>
        <w:rPr>
          <w:rFonts w:hint="eastAsia"/>
          <w:color w:val="auto"/>
          <w:sz w:val="36"/>
          <w:szCs w:val="36"/>
          <w:highlight w:val="none"/>
        </w:rPr>
      </w:pPr>
      <w:r>
        <w:rPr>
          <w:rFonts w:hint="eastAsia"/>
          <w:color w:val="auto"/>
          <w:sz w:val="36"/>
          <w:szCs w:val="36"/>
          <w:highlight w:val="none"/>
        </w:rPr>
        <w:br w:type="page"/>
      </w:r>
    </w:p>
    <w:p w14:paraId="7A8DFCD7">
      <w:pPr>
        <w:jc w:val="center"/>
        <w:rPr>
          <w:rFonts w:hint="eastAsia"/>
          <w:color w:val="auto"/>
          <w:sz w:val="36"/>
          <w:szCs w:val="36"/>
          <w:highlight w:val="none"/>
        </w:rPr>
      </w:pPr>
    </w:p>
    <w:p w14:paraId="16A6A106">
      <w:pPr>
        <w:jc w:val="center"/>
        <w:rPr>
          <w:color w:val="auto"/>
          <w:sz w:val="36"/>
          <w:szCs w:val="36"/>
          <w:highlight w:val="none"/>
        </w:rPr>
      </w:pPr>
      <w:r>
        <w:rPr>
          <w:rFonts w:hint="eastAsia"/>
          <w:color w:val="auto"/>
          <w:sz w:val="36"/>
          <w:szCs w:val="36"/>
          <w:highlight w:val="none"/>
        </w:rPr>
        <w:t>目  录</w:t>
      </w:r>
    </w:p>
    <w:p w14:paraId="122FB850">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1、比选响应函</w:t>
      </w:r>
    </w:p>
    <w:p w14:paraId="3EBE923A">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2、报价表</w:t>
      </w:r>
    </w:p>
    <w:p w14:paraId="11F38403">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p>
    <w:p w14:paraId="742623B5">
      <w:pPr>
        <w:pStyle w:val="17"/>
        <w:rPr>
          <w:rFonts w:hint="eastAsia" w:ascii="宋体" w:hAnsi="宋体" w:eastAsia="宋体" w:cs="宋体"/>
          <w:color w:val="auto"/>
          <w:sz w:val="28"/>
          <w:szCs w:val="28"/>
          <w:highlight w:val="none"/>
        </w:rPr>
      </w:pPr>
    </w:p>
    <w:p w14:paraId="086F32E5">
      <w:pPr>
        <w:pStyle w:val="17"/>
        <w:rPr>
          <w:rFonts w:hint="eastAsia" w:ascii="宋体" w:hAnsi="宋体" w:eastAsia="宋体" w:cs="宋体"/>
          <w:color w:val="auto"/>
          <w:sz w:val="28"/>
          <w:szCs w:val="28"/>
          <w:highlight w:val="none"/>
        </w:rPr>
      </w:pPr>
    </w:p>
    <w:p w14:paraId="13AF2E42">
      <w:pPr>
        <w:pStyle w:val="17"/>
        <w:rPr>
          <w:rFonts w:hint="eastAsia" w:ascii="宋体" w:hAnsi="宋体" w:eastAsia="宋体" w:cs="宋体"/>
          <w:color w:val="auto"/>
          <w:sz w:val="28"/>
          <w:szCs w:val="28"/>
          <w:highlight w:val="none"/>
        </w:rPr>
      </w:pPr>
    </w:p>
    <w:p w14:paraId="0B3C97D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C467954">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25D9BFA">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106539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2537C6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4E008EE">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352498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AB19412">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300C581">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93DA522">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BEE1A0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88D855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D38B14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93F2CF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931B9F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85AC66A">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CCB3C4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6E3A2A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1、比选响应函</w:t>
      </w:r>
    </w:p>
    <w:p w14:paraId="3DCDEA4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48C5AC8">
      <w:pPr>
        <w:spacing w:line="440" w:lineRule="exact"/>
        <w:ind w:firstLine="480" w:firstLineChars="200"/>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我方已全面阅读和研究贵方比选文件，已充分理解并掌握了本次比选招标的全部有关情况。同意接受比选文件的全部内容和条件，以本投标书向你方发包的全部内容进行投标。根据贵方的</w:t>
      </w:r>
      <w:bookmarkStart w:id="0" w:name="_Hlk44287576"/>
      <w:r>
        <w:rPr>
          <w:rFonts w:hint="eastAsia" w:ascii="宋体" w:hAnsi="宋体" w:eastAsia="宋体" w:cs="宋体"/>
          <w:color w:val="auto"/>
          <w:sz w:val="24"/>
          <w:szCs w:val="24"/>
          <w:highlight w:val="none"/>
        </w:rPr>
        <w:t>比选文件</w:t>
      </w:r>
      <w:bookmarkEnd w:id="0"/>
      <w:r>
        <w:rPr>
          <w:rFonts w:hint="eastAsia" w:ascii="宋体" w:hAnsi="宋体" w:eastAsia="宋体" w:cs="宋体"/>
          <w:color w:val="auto"/>
          <w:sz w:val="24"/>
          <w:szCs w:val="24"/>
          <w:highlight w:val="none"/>
        </w:rPr>
        <w:t>要求，我方兹宣布同意如下：</w:t>
      </w:r>
    </w:p>
    <w:p w14:paraId="011C2FC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1.如我公司成交，我公司承诺愿意按比选文件规定缴纳履约保证金（如有）和成交服务费。按本次比选文件规定报价承诺服务。</w:t>
      </w:r>
    </w:p>
    <w:p w14:paraId="3AAEF52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2.我方根据本次比选文件的规定，严格履行合同的责任和义务,并保证于甲方（比选人）要求的日期内完成服务，并通过甲方（比选人）验收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我方任命</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同志为本项目负责人</w:t>
      </w:r>
      <w:r>
        <w:rPr>
          <w:rFonts w:hint="eastAsia" w:ascii="宋体" w:hAnsi="宋体" w:eastAsia="宋体" w:cs="宋体"/>
          <w:b/>
          <w:bCs/>
          <w:color w:val="auto"/>
          <w:sz w:val="24"/>
          <w:szCs w:val="24"/>
          <w:highlight w:val="none"/>
          <w:lang w:val="en-US" w:eastAsia="zh-CN"/>
        </w:rPr>
        <w:t>（后附项目负责人身份证复印件并加盖公章）</w:t>
      </w:r>
      <w:r>
        <w:rPr>
          <w:rFonts w:hint="eastAsia" w:ascii="宋体" w:hAnsi="宋体" w:eastAsia="宋体" w:cs="宋体"/>
          <w:color w:val="auto"/>
          <w:sz w:val="24"/>
          <w:szCs w:val="24"/>
          <w:highlight w:val="none"/>
          <w:lang w:val="en-US" w:eastAsia="zh-CN"/>
        </w:rPr>
        <w:t>。</w:t>
      </w:r>
    </w:p>
    <w:p w14:paraId="75809DA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3.我方已详细审核本次比选文件，包括比选文件附件、参考资料、更正公告或图纸（如有），我方正式认可并遵守本次比选文件，并对比选文件各项条款、规定及要求均无异议。</w:t>
      </w:r>
    </w:p>
    <w:p w14:paraId="722FEC3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4.我方同意从比选须知规定的比选日期起遵循本比选文件，并在比选须知规定的比选有效期之前均具有约束力。</w:t>
      </w:r>
    </w:p>
    <w:p w14:paraId="7268E11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5.我方同意按贵方要求在比选文件规定时间内向贵方提供与其比选有关的任何证据或补充资料，否则，我方的响应文件可被贵方拒绝。</w:t>
      </w:r>
    </w:p>
    <w:p w14:paraId="7EF0518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6.我方完全理解贵方不一定接受最低报价的比选。</w:t>
      </w:r>
    </w:p>
    <w:p w14:paraId="0264678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7.我方同意比选文件规定的付款方式、服务（或供货）期限。</w:t>
      </w:r>
    </w:p>
    <w:p w14:paraId="104C221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8.我方承诺在收到中标通知书后，在中标通知书规定的期限内与你方签订合同。</w:t>
      </w:r>
    </w:p>
    <w:p w14:paraId="6CD7916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9.我方承诺在合同约定的期限内完成并移交全部合同内容。</w:t>
      </w:r>
    </w:p>
    <w:p w14:paraId="683C42A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10.我方对响应文件中所提供资料、文件、证书及证件的真实性和有效性负责。</w:t>
      </w:r>
    </w:p>
    <w:p w14:paraId="22472BD4">
      <w:pPr>
        <w:spacing w:line="440" w:lineRule="exact"/>
        <w:ind w:firstLine="480" w:firstLineChars="200"/>
        <w:rPr>
          <w:rFonts w:hint="eastAsia" w:ascii="宋体" w:hAnsi="宋体" w:eastAsia="宋体" w:cs="宋体"/>
          <w:color w:val="auto"/>
          <w:sz w:val="24"/>
          <w:szCs w:val="24"/>
          <w:highlight w:val="none"/>
        </w:rPr>
      </w:pPr>
    </w:p>
    <w:p w14:paraId="15B9B77A">
      <w:pPr>
        <w:spacing w:line="440" w:lineRule="exact"/>
        <w:ind w:firstLine="480" w:firstLineChars="200"/>
        <w:rPr>
          <w:rFonts w:hint="eastAsia" w:ascii="宋体" w:hAnsi="宋体" w:eastAsia="宋体" w:cs="宋体"/>
          <w:color w:val="auto"/>
          <w:sz w:val="24"/>
          <w:szCs w:val="24"/>
          <w:highlight w:val="none"/>
        </w:rPr>
      </w:pPr>
    </w:p>
    <w:p w14:paraId="16BE3345">
      <w:pPr>
        <w:keepNext w:val="0"/>
        <w:keepLines w:val="0"/>
        <w:pageBreakBefore w:val="0"/>
        <w:widowControl w:val="0"/>
        <w:kinsoku w:val="0"/>
        <w:wordWrap/>
        <w:overflowPunct/>
        <w:topLinePunct w:val="0"/>
        <w:autoSpaceDE w:val="0"/>
        <w:autoSpaceDN w:val="0"/>
        <w:bidi w:val="0"/>
        <w:adjustRightInd w:val="0"/>
        <w:snapToGrid w:val="0"/>
        <w:spacing w:line="900" w:lineRule="exact"/>
        <w:ind w:firstLine="2400" w:firstLineChars="10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14:paraId="4F4BEB5D">
      <w:pPr>
        <w:keepNext w:val="0"/>
        <w:keepLines w:val="0"/>
        <w:pageBreakBefore w:val="0"/>
        <w:widowControl w:val="0"/>
        <w:kinsoku w:val="0"/>
        <w:wordWrap/>
        <w:overflowPunct/>
        <w:topLinePunct w:val="0"/>
        <w:autoSpaceDE w:val="0"/>
        <w:autoSpaceDN w:val="0"/>
        <w:bidi w:val="0"/>
        <w:adjustRightInd w:val="0"/>
        <w:snapToGrid w:val="0"/>
        <w:spacing w:line="900" w:lineRule="exact"/>
        <w:ind w:left="630" w:leftChars="300" w:right="280" w:firstLine="1680" w:firstLineChars="7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D1CCE0E">
      <w:pPr>
        <w:keepNext w:val="0"/>
        <w:keepLines w:val="0"/>
        <w:pageBreakBefore w:val="0"/>
        <w:widowControl w:val="0"/>
        <w:kinsoku w:val="0"/>
        <w:wordWrap/>
        <w:overflowPunct/>
        <w:topLinePunct w:val="0"/>
        <w:autoSpaceDE w:val="0"/>
        <w:autoSpaceDN w:val="0"/>
        <w:bidi w:val="0"/>
        <w:adjustRightInd w:val="0"/>
        <w:snapToGrid w:val="0"/>
        <w:spacing w:line="900" w:lineRule="exact"/>
        <w:ind w:left="630" w:leftChars="300" w:right="280" w:firstLine="1680" w:firstLineChars="700"/>
        <w:jc w:val="right"/>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年   月   日</w:t>
      </w:r>
    </w:p>
    <w:p w14:paraId="024EB13A">
      <w:pPr>
        <w:kinsoku w:val="0"/>
        <w:autoSpaceDE w:val="0"/>
        <w:autoSpaceDN w:val="0"/>
        <w:adjustRightInd w:val="0"/>
        <w:snapToGrid w:val="0"/>
        <w:spacing w:line="500" w:lineRule="exact"/>
        <w:ind w:right="1400"/>
        <w:jc w:val="center"/>
        <w:textAlignment w:val="baseline"/>
        <w:rPr>
          <w:rFonts w:hint="eastAsia" w:ascii="宋体" w:hAnsi="宋体" w:eastAsia="宋体" w:cs="宋体"/>
          <w:b/>
          <w:bCs/>
          <w:color w:val="auto"/>
          <w:sz w:val="32"/>
          <w:szCs w:val="32"/>
          <w:highlight w:val="none"/>
          <w:lang w:val="en-US" w:eastAsia="zh-CN" w:bidi="ar"/>
        </w:rPr>
      </w:pPr>
      <w:r>
        <w:rPr>
          <w:rFonts w:hint="eastAsia" w:ascii="仿宋" w:hAnsi="仿宋" w:eastAsia="仿宋" w:cs="仿宋"/>
          <w:b/>
          <w:bCs/>
          <w:color w:val="auto"/>
          <w:sz w:val="32"/>
          <w:szCs w:val="32"/>
          <w:highlight w:val="none"/>
          <w:lang w:val="en-US" w:eastAsia="zh-CN" w:bidi="ar"/>
        </w:rPr>
        <w:t xml:space="preserve">  </w:t>
      </w:r>
      <w:r>
        <w:rPr>
          <w:rFonts w:hint="eastAsia" w:ascii="宋体" w:hAnsi="宋体" w:eastAsia="宋体" w:cs="宋体"/>
          <w:b/>
          <w:bCs/>
          <w:color w:val="auto"/>
          <w:sz w:val="32"/>
          <w:szCs w:val="32"/>
          <w:highlight w:val="none"/>
          <w:lang w:val="en-US" w:eastAsia="zh-CN" w:bidi="ar"/>
        </w:rPr>
        <w:t xml:space="preserve">   </w:t>
      </w:r>
    </w:p>
    <w:p w14:paraId="18C6706E">
      <w:pPr>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br w:type="page"/>
      </w:r>
    </w:p>
    <w:p w14:paraId="70837695">
      <w:pPr>
        <w:kinsoku w:val="0"/>
        <w:autoSpaceDE w:val="0"/>
        <w:autoSpaceDN w:val="0"/>
        <w:adjustRightInd w:val="0"/>
        <w:snapToGrid w:val="0"/>
        <w:spacing w:line="500" w:lineRule="exact"/>
        <w:ind w:right="1400"/>
        <w:jc w:val="center"/>
        <w:textAlignment w:val="baseline"/>
        <w:rPr>
          <w:rFonts w:hint="eastAsia" w:ascii="仿宋" w:hAnsi="仿宋" w:eastAsia="仿宋" w:cs="仿宋"/>
          <w:b/>
          <w:bCs/>
          <w:color w:val="auto"/>
          <w:sz w:val="32"/>
          <w:szCs w:val="32"/>
          <w:highlight w:val="none"/>
        </w:rPr>
      </w:pPr>
      <w:r>
        <w:rPr>
          <w:rFonts w:hint="eastAsia" w:ascii="宋体" w:hAnsi="宋体" w:eastAsia="宋体" w:cs="宋体"/>
          <w:b/>
          <w:bCs/>
          <w:color w:val="auto"/>
          <w:sz w:val="32"/>
          <w:szCs w:val="32"/>
          <w:highlight w:val="none"/>
          <w:lang w:val="en-US" w:eastAsia="zh-CN" w:bidi="ar"/>
        </w:rPr>
        <w:t>2、报价表</w:t>
      </w:r>
    </w:p>
    <w:p w14:paraId="62E663BA">
      <w:pPr>
        <w:snapToGrid w:val="0"/>
        <w:spacing w:line="360" w:lineRule="auto"/>
        <w:jc w:val="left"/>
        <w:rPr>
          <w:rFonts w:hint="eastAsia" w:ascii="仿宋" w:hAnsi="仿宋" w:eastAsia="仿宋" w:cs="仿宋"/>
          <w:b/>
          <w:color w:val="auto"/>
          <w:sz w:val="28"/>
          <w:szCs w:val="28"/>
          <w:highlight w:val="none"/>
        </w:rPr>
      </w:pPr>
    </w:p>
    <w:p w14:paraId="2A60D0A5">
      <w:pPr>
        <w:snapToGrid w:val="0"/>
        <w:spacing w:after="156" w:afterLines="50" w:line="360" w:lineRule="auto"/>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8"/>
          <w:szCs w:val="28"/>
          <w:highlight w:val="none"/>
          <w:u w:val="single"/>
          <w:lang w:val="en-US" w:eastAsia="zh-CN"/>
        </w:rPr>
        <w:t>安庆桐城化工园区(稳定同位素产业园)-污水处理厂、事故应急池项目和安庆桐城化工园区(稳定同位素产业园)一北四路(龙池北路-东一路)建设工程及配套专用管廊项目跟踪审计服务</w:t>
      </w:r>
      <w:r>
        <w:rPr>
          <w:rFonts w:hint="eastAsia" w:ascii="宋体" w:hAnsi="宋体" w:eastAsia="宋体" w:cs="宋体"/>
          <w:color w:val="auto"/>
          <w:sz w:val="28"/>
          <w:szCs w:val="28"/>
          <w:highlight w:val="none"/>
          <w:u w:val="single"/>
        </w:rPr>
        <w:t xml:space="preserve"> </w:t>
      </w:r>
    </w:p>
    <w:tbl>
      <w:tblPr>
        <w:tblStyle w:val="1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584"/>
      </w:tblGrid>
      <w:tr w14:paraId="43EE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2672" w:type="dxa"/>
            <w:tcBorders>
              <w:top w:val="single" w:color="auto" w:sz="4" w:space="0"/>
            </w:tcBorders>
            <w:vAlign w:val="center"/>
          </w:tcPr>
          <w:p w14:paraId="6FF40C8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p w14:paraId="4AA9BC1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p>
        </w:tc>
        <w:tc>
          <w:tcPr>
            <w:tcW w:w="6584" w:type="dxa"/>
            <w:vAlign w:val="center"/>
          </w:tcPr>
          <w:p w14:paraId="2C452ECD">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安庆桐城化工园区(稳定同位素产业园)-污水处理厂、事故应急池项目基本酬金：15万元；安庆桐城化工园区(稳定同位素产业园)一北四路(龙池北路-东一路)建设工程及配套专用管廊项目基本酬金：5万元；②审减金额绩效奖励：按跟踪审计结算审核报告中审减金额的2.5%支付。审减额在5%以内审减额奖励费用由建设单位承担，审减额在5%以外（不含5%）审减额奖励费用由施工单位承担，在工程结算时扣除。</w:t>
            </w:r>
          </w:p>
          <w:p w14:paraId="3195193F">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③工程延期服务费：跟踪审计服务期限为下达工程开工令至365个日历天止，如遇特殊情况,适时顺延,延期服务费用按5000元/月支付给成交人。不足15个日历天不计算，超过15个日历天未满一个月按一个月计算。</w:t>
            </w:r>
          </w:p>
        </w:tc>
      </w:tr>
      <w:tr w14:paraId="154E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72" w:type="dxa"/>
            <w:vAlign w:val="center"/>
          </w:tcPr>
          <w:p w14:paraId="52A6B88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c>
          <w:tcPr>
            <w:tcW w:w="6584" w:type="dxa"/>
          </w:tcPr>
          <w:p w14:paraId="053531DA">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r>
    </w:tbl>
    <w:p w14:paraId="0F37C544">
      <w:pPr>
        <w:spacing w:line="440" w:lineRule="exact"/>
        <w:rPr>
          <w:rFonts w:hint="eastAsia" w:ascii="宋体" w:hAnsi="宋体" w:eastAsia="宋体" w:cs="宋体"/>
          <w:color w:val="auto"/>
          <w:sz w:val="24"/>
          <w:szCs w:val="24"/>
          <w:highlight w:val="none"/>
        </w:rPr>
      </w:pPr>
    </w:p>
    <w:p w14:paraId="1BFB7BAF">
      <w:pPr>
        <w:pStyle w:val="6"/>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本项目为固定报价，投标人按此费用报价即可</w:t>
      </w:r>
    </w:p>
    <w:p w14:paraId="58079E7E">
      <w:pPr>
        <w:spacing w:line="440" w:lineRule="exact"/>
        <w:ind w:firstLine="4800" w:firstLineChars="2000"/>
        <w:rPr>
          <w:rFonts w:hint="eastAsia" w:ascii="宋体" w:hAnsi="宋体" w:eastAsia="宋体" w:cs="宋体"/>
          <w:color w:val="auto"/>
          <w:sz w:val="24"/>
          <w:szCs w:val="24"/>
          <w:highlight w:val="none"/>
        </w:rPr>
      </w:pPr>
    </w:p>
    <w:p w14:paraId="314EA566">
      <w:pPr>
        <w:keepNext w:val="0"/>
        <w:keepLines w:val="0"/>
        <w:pageBreakBefore w:val="0"/>
        <w:kinsoku w:val="0"/>
        <w:wordWrap/>
        <w:overflowPunct/>
        <w:topLinePunct w:val="0"/>
        <w:autoSpaceDE w:val="0"/>
        <w:autoSpaceDN w:val="0"/>
        <w:bidi w:val="0"/>
        <w:adjustRightInd w:val="0"/>
        <w:snapToGrid w:val="0"/>
        <w:spacing w:line="900" w:lineRule="exact"/>
        <w:ind w:firstLine="2640" w:firstLineChars="11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 xml:space="preserve">章） </w:t>
      </w:r>
    </w:p>
    <w:p w14:paraId="23CE41FC">
      <w:pPr>
        <w:keepNext w:val="0"/>
        <w:keepLines w:val="0"/>
        <w:pageBreakBefore w:val="0"/>
        <w:kinsoku w:val="0"/>
        <w:wordWrap/>
        <w:overflowPunct/>
        <w:topLinePunct w:val="0"/>
        <w:autoSpaceDE w:val="0"/>
        <w:autoSpaceDN w:val="0"/>
        <w:bidi w:val="0"/>
        <w:adjustRightInd w:val="0"/>
        <w:snapToGrid w:val="0"/>
        <w:spacing w:line="900" w:lineRule="exact"/>
        <w:ind w:firstLine="2160" w:firstLineChars="9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CA621C7">
      <w:pPr>
        <w:pStyle w:val="3"/>
        <w:keepNext w:val="0"/>
        <w:keepLines w:val="0"/>
        <w:pageBreakBefore w:val="0"/>
        <w:widowControl/>
        <w:wordWrap/>
        <w:overflowPunct/>
        <w:topLinePunct w:val="0"/>
        <w:bidi w:val="0"/>
        <w:spacing w:before="156" w:after="156" w:line="900" w:lineRule="exact"/>
        <w:jc w:val="right"/>
        <w:rPr>
          <w:rFonts w:hint="eastAsia" w:ascii="仿宋" w:hAnsi="仿宋" w:eastAsia="仿宋" w:cs="仿宋"/>
          <w:color w:val="auto"/>
          <w:sz w:val="28"/>
          <w:szCs w:val="28"/>
          <w:highlight w:val="none"/>
          <w:lang w:val="en-US" w:eastAsia="zh-CN"/>
        </w:rPr>
      </w:pPr>
      <w:r>
        <w:rPr>
          <w:rFonts w:hint="eastAsia" w:ascii="宋体" w:hAnsi="宋体" w:eastAsia="宋体" w:cs="宋体"/>
          <w:b w:val="0"/>
          <w:bCs w:val="0"/>
          <w:color w:val="auto"/>
          <w:sz w:val="24"/>
          <w:szCs w:val="24"/>
          <w:highlight w:val="none"/>
          <w:lang w:bidi="ar"/>
        </w:rPr>
        <w:t>年   月   日</w:t>
      </w:r>
    </w:p>
    <w:sectPr>
      <w:footerReference r:id="rId7" w:type="default"/>
      <w:pgSz w:w="11906" w:h="16838"/>
      <w:pgMar w:top="1440" w:right="140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65E5796-26EB-4FC3-8F2B-F35DEDEC7DE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EB6F0280-2131-44F5-B75C-E808CD26BB6C}"/>
  </w:font>
  <w:font w:name="宋?">
    <w:altName w:val="宋体"/>
    <w:panose1 w:val="00000000000000000000"/>
    <w:charset w:val="81"/>
    <w:family w:val="roman"/>
    <w:pitch w:val="default"/>
    <w:sig w:usb0="00000000" w:usb1="00000000" w:usb2="00000010" w:usb3="00000000" w:csb0="0008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A875CD0B-607B-4A01-951E-8AA2AABECF09}"/>
  </w:font>
  <w:font w:name="仿宋_GB2312">
    <w:altName w:val="仿宋"/>
    <w:panose1 w:val="02010609030101010101"/>
    <w:charset w:val="86"/>
    <w:family w:val="modern"/>
    <w:pitch w:val="default"/>
    <w:sig w:usb0="00000000" w:usb1="00000000" w:usb2="00000000" w:usb3="00000000" w:csb0="00040000" w:csb1="00000000"/>
    <w:embedRegular r:id="rId4" w:fontKey="{F7D25ABA-0C1A-4315-AAD9-8F204D17D03B}"/>
  </w:font>
  <w:font w:name="方正仿宋_GB2312">
    <w:panose1 w:val="02000000000000000000"/>
    <w:charset w:val="86"/>
    <w:family w:val="auto"/>
    <w:pitch w:val="default"/>
    <w:sig w:usb0="A00002BF" w:usb1="184F6CFA" w:usb2="00000012" w:usb3="00000000" w:csb0="00040001" w:csb1="00000000"/>
    <w:embedRegular r:id="rId5" w:fontKey="{02A8F1B1-F601-493C-B64A-69AD8FBA3EAD}"/>
  </w:font>
  <w:font w:name="WPSEMBED1">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3719">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E4DA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CE4DA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7C5AC">
    <w:pPr>
      <w:spacing w:before="76" w:line="177"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DADE4">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ADADE4">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CB34">
    <w:pPr>
      <w:tabs>
        <w:tab w:val="left" w:pos="4438"/>
      </w:tabs>
      <w:spacing w:before="58" w:line="230" w:lineRule="auto"/>
      <w:ind w:left="3778"/>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B7A5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EB7A5E">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7"/>
        <w:szCs w:val="17"/>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665A">
    <w:pPr>
      <w:pStyle w:val="6"/>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C2564">
    <w:pPr>
      <w:pStyle w:val="6"/>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A36EB"/>
    <w:multiLevelType w:val="singleLevel"/>
    <w:tmpl w:val="B45A36EB"/>
    <w:lvl w:ilvl="0" w:tentative="0">
      <w:start w:val="4"/>
      <w:numFmt w:val="chineseCounting"/>
      <w:suff w:val="nothing"/>
      <w:lvlText w:val="%1、"/>
      <w:lvlJc w:val="left"/>
      <w:rPr>
        <w:rFonts w:hint="eastAsia"/>
      </w:rPr>
    </w:lvl>
  </w:abstractNum>
  <w:abstractNum w:abstractNumId="1">
    <w:nsid w:val="BBF24801"/>
    <w:multiLevelType w:val="singleLevel"/>
    <w:tmpl w:val="BBF24801"/>
    <w:lvl w:ilvl="0" w:tentative="0">
      <w:start w:val="2"/>
      <w:numFmt w:val="decimal"/>
      <w:suff w:val="nothing"/>
      <w:lvlText w:val="%1、"/>
      <w:lvlJc w:val="left"/>
    </w:lvl>
  </w:abstractNum>
  <w:abstractNum w:abstractNumId="2">
    <w:nsid w:val="CF0F8C7E"/>
    <w:multiLevelType w:val="singleLevel"/>
    <w:tmpl w:val="CF0F8C7E"/>
    <w:lvl w:ilvl="0" w:tentative="0">
      <w:start w:val="3"/>
      <w:numFmt w:val="decimal"/>
      <w:suff w:val="nothing"/>
      <w:lvlText w:val="%1、"/>
      <w:lvlJc w:val="left"/>
    </w:lvl>
  </w:abstractNum>
  <w:abstractNum w:abstractNumId="3">
    <w:nsid w:val="F2E0F562"/>
    <w:multiLevelType w:val="singleLevel"/>
    <w:tmpl w:val="F2E0F56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2DAE2C04"/>
    <w:rsid w:val="0057374A"/>
    <w:rsid w:val="00653DAD"/>
    <w:rsid w:val="00A17E82"/>
    <w:rsid w:val="00C92275"/>
    <w:rsid w:val="018C2F5C"/>
    <w:rsid w:val="01B666C0"/>
    <w:rsid w:val="01EE19B6"/>
    <w:rsid w:val="02482711"/>
    <w:rsid w:val="02CA596A"/>
    <w:rsid w:val="02D432A2"/>
    <w:rsid w:val="02D7280B"/>
    <w:rsid w:val="02D84414"/>
    <w:rsid w:val="03502739"/>
    <w:rsid w:val="03795BF7"/>
    <w:rsid w:val="037B54CB"/>
    <w:rsid w:val="03BD20A2"/>
    <w:rsid w:val="03CD1F35"/>
    <w:rsid w:val="041B6CAE"/>
    <w:rsid w:val="047A1C27"/>
    <w:rsid w:val="048C24FF"/>
    <w:rsid w:val="05272903"/>
    <w:rsid w:val="052F5AAA"/>
    <w:rsid w:val="0550088B"/>
    <w:rsid w:val="056A0FA1"/>
    <w:rsid w:val="05F81344"/>
    <w:rsid w:val="06223599"/>
    <w:rsid w:val="063D115E"/>
    <w:rsid w:val="0672634E"/>
    <w:rsid w:val="067405EB"/>
    <w:rsid w:val="06E91DAA"/>
    <w:rsid w:val="07825807"/>
    <w:rsid w:val="07830DF3"/>
    <w:rsid w:val="07B2792A"/>
    <w:rsid w:val="07FE47FE"/>
    <w:rsid w:val="0876736C"/>
    <w:rsid w:val="08804D17"/>
    <w:rsid w:val="08852948"/>
    <w:rsid w:val="08C11344"/>
    <w:rsid w:val="09060622"/>
    <w:rsid w:val="09616AAC"/>
    <w:rsid w:val="09D72B51"/>
    <w:rsid w:val="0A344279"/>
    <w:rsid w:val="0AFD710E"/>
    <w:rsid w:val="0C1E558E"/>
    <w:rsid w:val="0CA42EE1"/>
    <w:rsid w:val="0D8E229F"/>
    <w:rsid w:val="0DA41AC3"/>
    <w:rsid w:val="0DF85455"/>
    <w:rsid w:val="0E0367E9"/>
    <w:rsid w:val="0E136BC8"/>
    <w:rsid w:val="0E1409F6"/>
    <w:rsid w:val="0E895FA7"/>
    <w:rsid w:val="0F2F6065"/>
    <w:rsid w:val="102B2FF8"/>
    <w:rsid w:val="10334A52"/>
    <w:rsid w:val="109F7496"/>
    <w:rsid w:val="10FB40F0"/>
    <w:rsid w:val="11436D54"/>
    <w:rsid w:val="11441BDD"/>
    <w:rsid w:val="11671785"/>
    <w:rsid w:val="119F605A"/>
    <w:rsid w:val="11C207D0"/>
    <w:rsid w:val="11FC011F"/>
    <w:rsid w:val="120A5747"/>
    <w:rsid w:val="127C6D88"/>
    <w:rsid w:val="12CA0B27"/>
    <w:rsid w:val="13144FF5"/>
    <w:rsid w:val="1353321F"/>
    <w:rsid w:val="13C702B9"/>
    <w:rsid w:val="146855F8"/>
    <w:rsid w:val="14E629BA"/>
    <w:rsid w:val="15227E9D"/>
    <w:rsid w:val="15C508F2"/>
    <w:rsid w:val="15E13DBF"/>
    <w:rsid w:val="160D38E8"/>
    <w:rsid w:val="1653441B"/>
    <w:rsid w:val="16847EF9"/>
    <w:rsid w:val="16943A91"/>
    <w:rsid w:val="169F1079"/>
    <w:rsid w:val="16EA2C3C"/>
    <w:rsid w:val="17316E44"/>
    <w:rsid w:val="175B58E8"/>
    <w:rsid w:val="17632963"/>
    <w:rsid w:val="176F3141"/>
    <w:rsid w:val="180A4C18"/>
    <w:rsid w:val="180E64B6"/>
    <w:rsid w:val="186B4734"/>
    <w:rsid w:val="188749B5"/>
    <w:rsid w:val="18C46DF1"/>
    <w:rsid w:val="19121FD6"/>
    <w:rsid w:val="19580E62"/>
    <w:rsid w:val="197B401F"/>
    <w:rsid w:val="1A2664F0"/>
    <w:rsid w:val="1A4B1C44"/>
    <w:rsid w:val="1A4C59BC"/>
    <w:rsid w:val="1A9D7FC6"/>
    <w:rsid w:val="1AF00B1E"/>
    <w:rsid w:val="1B2A6A9A"/>
    <w:rsid w:val="1B731BB1"/>
    <w:rsid w:val="1B7529C4"/>
    <w:rsid w:val="1B841F7A"/>
    <w:rsid w:val="1B866CAC"/>
    <w:rsid w:val="1BF91A76"/>
    <w:rsid w:val="1C0F4EF3"/>
    <w:rsid w:val="1C546BD2"/>
    <w:rsid w:val="1C7F5BD5"/>
    <w:rsid w:val="1C9C788D"/>
    <w:rsid w:val="1DB41DC8"/>
    <w:rsid w:val="1DFD5937"/>
    <w:rsid w:val="1E1E766F"/>
    <w:rsid w:val="1E462B69"/>
    <w:rsid w:val="1F0F4909"/>
    <w:rsid w:val="1F1015B0"/>
    <w:rsid w:val="1FBA019A"/>
    <w:rsid w:val="1FD61FB0"/>
    <w:rsid w:val="1FF64400"/>
    <w:rsid w:val="205B139A"/>
    <w:rsid w:val="2113059E"/>
    <w:rsid w:val="211A20DA"/>
    <w:rsid w:val="21305C0E"/>
    <w:rsid w:val="21604349"/>
    <w:rsid w:val="21B31E7D"/>
    <w:rsid w:val="21C7632C"/>
    <w:rsid w:val="21E64000"/>
    <w:rsid w:val="224041DB"/>
    <w:rsid w:val="224B29C2"/>
    <w:rsid w:val="224F3585"/>
    <w:rsid w:val="22D36C7A"/>
    <w:rsid w:val="22F62969"/>
    <w:rsid w:val="23147F06"/>
    <w:rsid w:val="233C7880"/>
    <w:rsid w:val="23652F67"/>
    <w:rsid w:val="237C10C0"/>
    <w:rsid w:val="2426102C"/>
    <w:rsid w:val="249B261C"/>
    <w:rsid w:val="24A02C63"/>
    <w:rsid w:val="24D42836"/>
    <w:rsid w:val="25910727"/>
    <w:rsid w:val="259F1E6C"/>
    <w:rsid w:val="25B82157"/>
    <w:rsid w:val="25FE400E"/>
    <w:rsid w:val="260B04D9"/>
    <w:rsid w:val="264F486A"/>
    <w:rsid w:val="26B43257"/>
    <w:rsid w:val="271D4D31"/>
    <w:rsid w:val="276B54D3"/>
    <w:rsid w:val="27B96E8B"/>
    <w:rsid w:val="292E6F36"/>
    <w:rsid w:val="29693AA7"/>
    <w:rsid w:val="29B04A21"/>
    <w:rsid w:val="2A5306A1"/>
    <w:rsid w:val="2A790107"/>
    <w:rsid w:val="2A9E46C2"/>
    <w:rsid w:val="2AC171A5"/>
    <w:rsid w:val="2AEE17B2"/>
    <w:rsid w:val="2B232846"/>
    <w:rsid w:val="2B377717"/>
    <w:rsid w:val="2B6B7EFF"/>
    <w:rsid w:val="2BCE14F4"/>
    <w:rsid w:val="2BD14C9A"/>
    <w:rsid w:val="2BD603D4"/>
    <w:rsid w:val="2BD870AF"/>
    <w:rsid w:val="2C062C80"/>
    <w:rsid w:val="2C0E2AD1"/>
    <w:rsid w:val="2C532BDA"/>
    <w:rsid w:val="2C8014B7"/>
    <w:rsid w:val="2C972AC7"/>
    <w:rsid w:val="2CD15702"/>
    <w:rsid w:val="2CE51C3C"/>
    <w:rsid w:val="2D8550C0"/>
    <w:rsid w:val="2DAE2C04"/>
    <w:rsid w:val="2E0C1AC4"/>
    <w:rsid w:val="2E2F6D2F"/>
    <w:rsid w:val="2E530C6F"/>
    <w:rsid w:val="2F377CAB"/>
    <w:rsid w:val="2F6057DD"/>
    <w:rsid w:val="2FEF6701"/>
    <w:rsid w:val="30465A15"/>
    <w:rsid w:val="30601421"/>
    <w:rsid w:val="306D0C7B"/>
    <w:rsid w:val="31086F38"/>
    <w:rsid w:val="312740EC"/>
    <w:rsid w:val="313553C8"/>
    <w:rsid w:val="315C608D"/>
    <w:rsid w:val="315D6436"/>
    <w:rsid w:val="31836015"/>
    <w:rsid w:val="318367A7"/>
    <w:rsid w:val="31864EB8"/>
    <w:rsid w:val="319C70A1"/>
    <w:rsid w:val="31E8381B"/>
    <w:rsid w:val="327A0EC0"/>
    <w:rsid w:val="32AD1656"/>
    <w:rsid w:val="340053F5"/>
    <w:rsid w:val="34B574B8"/>
    <w:rsid w:val="34C53FA9"/>
    <w:rsid w:val="350B5E00"/>
    <w:rsid w:val="356130B4"/>
    <w:rsid w:val="35F66AB0"/>
    <w:rsid w:val="364F4412"/>
    <w:rsid w:val="36607168"/>
    <w:rsid w:val="36BB77E1"/>
    <w:rsid w:val="36DD513A"/>
    <w:rsid w:val="370D3C64"/>
    <w:rsid w:val="37892AB3"/>
    <w:rsid w:val="37C02DD3"/>
    <w:rsid w:val="380056EB"/>
    <w:rsid w:val="38482EC7"/>
    <w:rsid w:val="38626FB3"/>
    <w:rsid w:val="386E418B"/>
    <w:rsid w:val="38845B26"/>
    <w:rsid w:val="38A719E7"/>
    <w:rsid w:val="38C63BA7"/>
    <w:rsid w:val="3918690B"/>
    <w:rsid w:val="39636167"/>
    <w:rsid w:val="397F3F36"/>
    <w:rsid w:val="39BD11EE"/>
    <w:rsid w:val="39DB5F6E"/>
    <w:rsid w:val="3A056ACA"/>
    <w:rsid w:val="3AB16F89"/>
    <w:rsid w:val="3B1F2BA9"/>
    <w:rsid w:val="3B831D09"/>
    <w:rsid w:val="3BDB7557"/>
    <w:rsid w:val="3C1852A6"/>
    <w:rsid w:val="3C215FF2"/>
    <w:rsid w:val="3C282146"/>
    <w:rsid w:val="3C8C1F1C"/>
    <w:rsid w:val="3CA93999"/>
    <w:rsid w:val="3D3B56F0"/>
    <w:rsid w:val="3DFD1A92"/>
    <w:rsid w:val="3E2B4042"/>
    <w:rsid w:val="3EE97CBE"/>
    <w:rsid w:val="3F3348D1"/>
    <w:rsid w:val="3FA07A8C"/>
    <w:rsid w:val="3FB83028"/>
    <w:rsid w:val="3FF36623"/>
    <w:rsid w:val="40262DAF"/>
    <w:rsid w:val="40994C08"/>
    <w:rsid w:val="40AA6EEC"/>
    <w:rsid w:val="40FF1BA6"/>
    <w:rsid w:val="41140732"/>
    <w:rsid w:val="41276E11"/>
    <w:rsid w:val="41624818"/>
    <w:rsid w:val="416638E3"/>
    <w:rsid w:val="41B617E9"/>
    <w:rsid w:val="426976B5"/>
    <w:rsid w:val="429F5DD9"/>
    <w:rsid w:val="42C87355"/>
    <w:rsid w:val="42F56711"/>
    <w:rsid w:val="430250AC"/>
    <w:rsid w:val="4317410A"/>
    <w:rsid w:val="432650FD"/>
    <w:rsid w:val="43447715"/>
    <w:rsid w:val="44496E46"/>
    <w:rsid w:val="444A785A"/>
    <w:rsid w:val="44AF18F5"/>
    <w:rsid w:val="45071FF1"/>
    <w:rsid w:val="45113220"/>
    <w:rsid w:val="45D264C6"/>
    <w:rsid w:val="461446D4"/>
    <w:rsid w:val="4669507C"/>
    <w:rsid w:val="467D4684"/>
    <w:rsid w:val="46825D85"/>
    <w:rsid w:val="4690085B"/>
    <w:rsid w:val="46AD1991"/>
    <w:rsid w:val="46D85727"/>
    <w:rsid w:val="46DD3374"/>
    <w:rsid w:val="47136D96"/>
    <w:rsid w:val="47486A40"/>
    <w:rsid w:val="47E50627"/>
    <w:rsid w:val="483E50ED"/>
    <w:rsid w:val="484405B6"/>
    <w:rsid w:val="494057CF"/>
    <w:rsid w:val="498E0956"/>
    <w:rsid w:val="49B049E5"/>
    <w:rsid w:val="49FB1636"/>
    <w:rsid w:val="4A11580F"/>
    <w:rsid w:val="4A192915"/>
    <w:rsid w:val="4A212A7E"/>
    <w:rsid w:val="4A275032"/>
    <w:rsid w:val="4A3151FD"/>
    <w:rsid w:val="4A6931A7"/>
    <w:rsid w:val="4AB97C54"/>
    <w:rsid w:val="4AD725DB"/>
    <w:rsid w:val="4AFC1BE3"/>
    <w:rsid w:val="4B15399D"/>
    <w:rsid w:val="4B390CF8"/>
    <w:rsid w:val="4BAD67EC"/>
    <w:rsid w:val="4BBC16D9"/>
    <w:rsid w:val="4BD20FCE"/>
    <w:rsid w:val="4BF03B4A"/>
    <w:rsid w:val="4C8543E0"/>
    <w:rsid w:val="4CBD210B"/>
    <w:rsid w:val="4CC808B2"/>
    <w:rsid w:val="4CE2791C"/>
    <w:rsid w:val="4CE511D4"/>
    <w:rsid w:val="4D495369"/>
    <w:rsid w:val="4D812AEE"/>
    <w:rsid w:val="4EDA3604"/>
    <w:rsid w:val="4F7640D9"/>
    <w:rsid w:val="4F93316A"/>
    <w:rsid w:val="4FB05ACA"/>
    <w:rsid w:val="4FD2707D"/>
    <w:rsid w:val="4FDC47CA"/>
    <w:rsid w:val="502344EE"/>
    <w:rsid w:val="50AB6B85"/>
    <w:rsid w:val="51317C99"/>
    <w:rsid w:val="51382590"/>
    <w:rsid w:val="51B70312"/>
    <w:rsid w:val="51E40EF9"/>
    <w:rsid w:val="52426CE1"/>
    <w:rsid w:val="52561DA8"/>
    <w:rsid w:val="527E3C5D"/>
    <w:rsid w:val="52AA6800"/>
    <w:rsid w:val="53095C1D"/>
    <w:rsid w:val="535B3F9E"/>
    <w:rsid w:val="535C1095"/>
    <w:rsid w:val="53755060"/>
    <w:rsid w:val="53922CC8"/>
    <w:rsid w:val="53C438F2"/>
    <w:rsid w:val="542D0A74"/>
    <w:rsid w:val="54471867"/>
    <w:rsid w:val="54686973"/>
    <w:rsid w:val="546E1278"/>
    <w:rsid w:val="54CD30CC"/>
    <w:rsid w:val="5511700B"/>
    <w:rsid w:val="558E2409"/>
    <w:rsid w:val="559A7000"/>
    <w:rsid w:val="561F6F5A"/>
    <w:rsid w:val="56372C41"/>
    <w:rsid w:val="570105E4"/>
    <w:rsid w:val="57421056"/>
    <w:rsid w:val="574E77D1"/>
    <w:rsid w:val="577E46FF"/>
    <w:rsid w:val="5781726E"/>
    <w:rsid w:val="57D31058"/>
    <w:rsid w:val="582708F3"/>
    <w:rsid w:val="58647451"/>
    <w:rsid w:val="58DC0194"/>
    <w:rsid w:val="58E24461"/>
    <w:rsid w:val="59A32185"/>
    <w:rsid w:val="5A1804F3"/>
    <w:rsid w:val="5A8E2EAB"/>
    <w:rsid w:val="5B254B8D"/>
    <w:rsid w:val="5B4E6197"/>
    <w:rsid w:val="5BA85EEE"/>
    <w:rsid w:val="5BD84465"/>
    <w:rsid w:val="5C0011B1"/>
    <w:rsid w:val="5C385A4B"/>
    <w:rsid w:val="5DA352EC"/>
    <w:rsid w:val="5E011535"/>
    <w:rsid w:val="5E9B7945"/>
    <w:rsid w:val="5EBF1885"/>
    <w:rsid w:val="5ED24F05"/>
    <w:rsid w:val="5F5A0A8D"/>
    <w:rsid w:val="5FC13ADD"/>
    <w:rsid w:val="5FEE12B7"/>
    <w:rsid w:val="603A555D"/>
    <w:rsid w:val="607C3C86"/>
    <w:rsid w:val="60887155"/>
    <w:rsid w:val="608F2E78"/>
    <w:rsid w:val="60A30D33"/>
    <w:rsid w:val="60A67E06"/>
    <w:rsid w:val="613100ED"/>
    <w:rsid w:val="617C02F0"/>
    <w:rsid w:val="61C21E79"/>
    <w:rsid w:val="62161A12"/>
    <w:rsid w:val="626B7413"/>
    <w:rsid w:val="62A256AC"/>
    <w:rsid w:val="62AC5EF5"/>
    <w:rsid w:val="633A772C"/>
    <w:rsid w:val="63BB3950"/>
    <w:rsid w:val="63DC345F"/>
    <w:rsid w:val="64A85CAB"/>
    <w:rsid w:val="64C319A4"/>
    <w:rsid w:val="65414D34"/>
    <w:rsid w:val="65515201"/>
    <w:rsid w:val="6679092A"/>
    <w:rsid w:val="66846F11"/>
    <w:rsid w:val="66D33AAB"/>
    <w:rsid w:val="6756308B"/>
    <w:rsid w:val="67694D5A"/>
    <w:rsid w:val="681376C3"/>
    <w:rsid w:val="68690C4B"/>
    <w:rsid w:val="6870599E"/>
    <w:rsid w:val="68A53C1E"/>
    <w:rsid w:val="68E52C6F"/>
    <w:rsid w:val="68FD2E63"/>
    <w:rsid w:val="691722BE"/>
    <w:rsid w:val="6929713E"/>
    <w:rsid w:val="693E5F01"/>
    <w:rsid w:val="698B43BF"/>
    <w:rsid w:val="6994440C"/>
    <w:rsid w:val="69B83AA1"/>
    <w:rsid w:val="69F7703D"/>
    <w:rsid w:val="6A4C3FA3"/>
    <w:rsid w:val="6A5D139E"/>
    <w:rsid w:val="6A7F4696"/>
    <w:rsid w:val="6A9371C3"/>
    <w:rsid w:val="6AE47749"/>
    <w:rsid w:val="6B3D4F7E"/>
    <w:rsid w:val="6B93041A"/>
    <w:rsid w:val="6B94211D"/>
    <w:rsid w:val="6C0E3286"/>
    <w:rsid w:val="6C1D3E73"/>
    <w:rsid w:val="6C354EC2"/>
    <w:rsid w:val="6C7E644C"/>
    <w:rsid w:val="6CAB3449"/>
    <w:rsid w:val="6CC71B52"/>
    <w:rsid w:val="6CDD2FAF"/>
    <w:rsid w:val="6CF3228F"/>
    <w:rsid w:val="6D20306B"/>
    <w:rsid w:val="6D280E7F"/>
    <w:rsid w:val="6D737326"/>
    <w:rsid w:val="6DBA2B45"/>
    <w:rsid w:val="6DD864C0"/>
    <w:rsid w:val="6DF36EF3"/>
    <w:rsid w:val="6E3556C0"/>
    <w:rsid w:val="6E3E3CD5"/>
    <w:rsid w:val="6EBC693B"/>
    <w:rsid w:val="6F045092"/>
    <w:rsid w:val="6F3C4D2E"/>
    <w:rsid w:val="70377A4E"/>
    <w:rsid w:val="71693A5F"/>
    <w:rsid w:val="719B785F"/>
    <w:rsid w:val="71F413EE"/>
    <w:rsid w:val="725A561D"/>
    <w:rsid w:val="728F494A"/>
    <w:rsid w:val="72DE2B1B"/>
    <w:rsid w:val="7338355D"/>
    <w:rsid w:val="738F4EBF"/>
    <w:rsid w:val="73AA526E"/>
    <w:rsid w:val="73C16850"/>
    <w:rsid w:val="74783AEF"/>
    <w:rsid w:val="75106AC2"/>
    <w:rsid w:val="758903A3"/>
    <w:rsid w:val="75CF63FA"/>
    <w:rsid w:val="75D92DD5"/>
    <w:rsid w:val="764778F5"/>
    <w:rsid w:val="76C341DB"/>
    <w:rsid w:val="76D67314"/>
    <w:rsid w:val="77E1549F"/>
    <w:rsid w:val="78411105"/>
    <w:rsid w:val="789D2993"/>
    <w:rsid w:val="7A1F76F8"/>
    <w:rsid w:val="7A580134"/>
    <w:rsid w:val="7B1C3157"/>
    <w:rsid w:val="7B6F0D2E"/>
    <w:rsid w:val="7B982E3B"/>
    <w:rsid w:val="7BC41E31"/>
    <w:rsid w:val="7C0520B7"/>
    <w:rsid w:val="7C2267A6"/>
    <w:rsid w:val="7C683105"/>
    <w:rsid w:val="7CB559C1"/>
    <w:rsid w:val="7CD4439F"/>
    <w:rsid w:val="7DBB54B6"/>
    <w:rsid w:val="7DC95F40"/>
    <w:rsid w:val="7F122F6D"/>
    <w:rsid w:val="7F344C03"/>
    <w:rsid w:val="7F526827"/>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22"/>
    <w:qFormat/>
    <w:uiPriority w:val="0"/>
    <w:pPr>
      <w:keepNext/>
      <w:keepLines/>
      <w:spacing w:before="260" w:after="260" w:line="413"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34"/>
    <w:unhideWhenUsed/>
    <w:qFormat/>
    <w:uiPriority w:val="0"/>
    <w:pPr>
      <w:spacing w:after="120" w:line="240" w:lineRule="auto"/>
    </w:pPr>
    <w:rPr>
      <w:rFonts w:asciiTheme="minorHAnsi" w:hAnsiTheme="minorHAnsi" w:eastAsiaTheme="minorEastAsia" w:cstheme="minorBidi"/>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unhideWhenUsed/>
    <w:qFormat/>
    <w:uiPriority w:val="99"/>
    <w:rPr>
      <w:rFonts w:ascii="宋体" w:hAnsi="Courier New" w:cs="Courier New"/>
      <w:szCs w:val="21"/>
    </w:rPr>
  </w:style>
  <w:style w:type="paragraph" w:styleId="10">
    <w:name w:val="toc 8"/>
    <w:basedOn w:val="1"/>
    <w:next w:val="1"/>
    <w:unhideWhenUsed/>
    <w:qFormat/>
    <w:uiPriority w:val="39"/>
    <w:pPr>
      <w:ind w:left="1470"/>
      <w:jc w:val="left"/>
    </w:pPr>
    <w:rPr>
      <w:rFonts w:ascii="Calibri" w:hAnsi="Calibri" w:cs="Calibri"/>
      <w:sz w:val="18"/>
      <w:szCs w:val="18"/>
    </w:rPr>
  </w:style>
  <w:style w:type="paragraph" w:styleId="11">
    <w:name w:val="Date"/>
    <w:basedOn w:val="1"/>
    <w:next w:val="1"/>
    <w:qFormat/>
    <w:uiPriority w:val="0"/>
    <w:rPr>
      <w:rFonts w:asciiTheme="minorHAnsi" w:hAnsiTheme="minorHAnsi" w:eastAsiaTheme="minorEastAsia" w:cstheme="minorBidi"/>
      <w:sz w:val="24"/>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rPr>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link w:val="3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7">
    <w:name w:val="Body Text First Indent 2"/>
    <w:basedOn w:val="7"/>
    <w:qFormat/>
    <w:uiPriority w:val="0"/>
    <w:pPr>
      <w:widowControl/>
      <w:ind w:firstLine="420" w:firstLineChars="200"/>
      <w:jc w:val="left"/>
    </w:pPr>
    <w:rPr>
      <w:rFonts w:ascii="Times New Roman" w:hAnsi="Times New Roman" w:eastAsia="宋?"/>
      <w:kern w:val="0"/>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3 Char"/>
    <w:basedOn w:val="20"/>
    <w:link w:val="4"/>
    <w:qFormat/>
    <w:uiPriority w:val="0"/>
    <w:rPr>
      <w:rFonts w:hint="eastAsia" w:ascii="宋体" w:hAnsi="宋体" w:eastAsia="宋体" w:cs="宋体"/>
      <w:b/>
      <w:kern w:val="2"/>
      <w:sz w:val="21"/>
      <w:shd w:val="clear" w:fill="FFFFFF"/>
    </w:rPr>
  </w:style>
  <w:style w:type="paragraph" w:customStyle="1" w:styleId="23">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customStyle="1" w:styleId="24">
    <w:name w:val="首行缩进"/>
    <w:basedOn w:val="1"/>
    <w:qFormat/>
    <w:uiPriority w:val="0"/>
    <w:pPr>
      <w:ind w:firstLine="480" w:firstLineChars="200"/>
    </w:pPr>
    <w:rPr>
      <w:lang w:val="zh-CN"/>
    </w:rPr>
  </w:style>
  <w:style w:type="character" w:customStyle="1" w:styleId="25">
    <w:name w:val="NormalCharacter"/>
    <w:semiHidden/>
    <w:qFormat/>
    <w:uiPriority w:val="0"/>
  </w:style>
  <w:style w:type="paragraph" w:customStyle="1" w:styleId="26">
    <w:name w:val="Table Paragraph"/>
    <w:basedOn w:val="1"/>
    <w:qFormat/>
    <w:uiPriority w:val="1"/>
    <w:rPr>
      <w:rFonts w:ascii="宋体" w:hAnsi="宋体" w:eastAsia="宋体" w:cs="宋体"/>
      <w:lang w:val="zh-CN" w:eastAsia="zh-CN" w:bidi="zh-CN"/>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styleId="29">
    <w:name w:val="List Paragraph"/>
    <w:basedOn w:val="1"/>
    <w:qFormat/>
    <w:uiPriority w:val="34"/>
    <w:pPr>
      <w:ind w:firstLine="420" w:firstLineChars="200"/>
    </w:pPr>
  </w:style>
  <w:style w:type="paragraph" w:customStyle="1" w:styleId="30">
    <w:name w:val="正文文本缩进 2 Char Char"/>
    <w:basedOn w:val="1"/>
    <w:qFormat/>
    <w:uiPriority w:val="0"/>
    <w:pPr>
      <w:spacing w:before="100" w:beforeAutospacing="1" w:line="480" w:lineRule="auto"/>
      <w:ind w:left="420" w:leftChars="200"/>
    </w:pPr>
    <w:rPr>
      <w:rFonts w:hint="eastAsia" w:ascii="Times New Roman" w:hAnsi="Times New Roman" w:cs="Times New Roman"/>
      <w:sz w:val="32"/>
    </w:rPr>
  </w:style>
  <w:style w:type="character" w:customStyle="1" w:styleId="31">
    <w:name w:val="font31"/>
    <w:basedOn w:val="20"/>
    <w:qFormat/>
    <w:uiPriority w:val="0"/>
    <w:rPr>
      <w:rFonts w:hint="eastAsia" w:ascii="微软雅黑" w:hAnsi="微软雅黑" w:eastAsia="微软雅黑" w:cs="微软雅黑"/>
      <w:b/>
      <w:bCs/>
      <w:color w:val="000000"/>
      <w:sz w:val="24"/>
      <w:szCs w:val="24"/>
      <w:u w:val="none"/>
    </w:rPr>
  </w:style>
  <w:style w:type="character" w:customStyle="1" w:styleId="32">
    <w:name w:val="font91"/>
    <w:basedOn w:val="20"/>
    <w:qFormat/>
    <w:uiPriority w:val="0"/>
    <w:rPr>
      <w:rFonts w:hint="eastAsia" w:ascii="微软雅黑" w:hAnsi="微软雅黑" w:eastAsia="微软雅黑" w:cs="微软雅黑"/>
      <w:color w:val="000000"/>
      <w:sz w:val="24"/>
      <w:szCs w:val="24"/>
      <w:u w:val="none"/>
    </w:rPr>
  </w:style>
  <w:style w:type="character" w:customStyle="1" w:styleId="33">
    <w:name w:val="正文首行缩进 Char"/>
    <w:basedOn w:val="34"/>
    <w:link w:val="16"/>
    <w:qFormat/>
    <w:uiPriority w:val="0"/>
    <w:rPr>
      <w:rFonts w:hint="default" w:ascii="Times New Roman" w:hAnsi="Times New Roman" w:cs="Times New Roman"/>
      <w:kern w:val="2"/>
      <w:sz w:val="24"/>
      <w:szCs w:val="24"/>
    </w:rPr>
  </w:style>
  <w:style w:type="character" w:customStyle="1" w:styleId="34">
    <w:name w:val="正文文本 Char"/>
    <w:basedOn w:val="20"/>
    <w:link w:val="6"/>
    <w:qFormat/>
    <w:uiPriority w:val="0"/>
    <w:rPr>
      <w:kern w:val="2"/>
      <w:sz w:val="21"/>
      <w:szCs w:val="22"/>
    </w:rPr>
  </w:style>
  <w:style w:type="paragraph" w:customStyle="1" w:styleId="3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9762</Words>
  <Characters>10244</Characters>
  <Lines>0</Lines>
  <Paragraphs>0</Paragraphs>
  <TotalTime>3</TotalTime>
  <ScaleCrop>false</ScaleCrop>
  <LinksUpToDate>false</LinksUpToDate>
  <CharactersWithSpaces>11320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2023-06-07T11:02:00Z</dcterms:created>
  <dc:creator>阿义</dc:creator>
  <cp:lastModifiedBy>Administrator</cp:lastModifiedBy>
  <cp:lastPrinted>2024-08-12T08:31:00Z</cp:lastPrinted>
  <dcterms:modified xsi:type="dcterms:W3CDTF">2025-09-02T08:36:27Z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12B993099E0E487B8DF60FFE4AD6A82C_13</vt:lpwstr>
  </property>
  <property fmtid="{D5CDD505-2E9C-101B-9397-08002B2CF9AE}" pid="4" name="KSOTemplateDocerSaveRecord">
    <vt:lpwstr>eyJoZGlkIjoiMWU0MTkwODg4ODQwM2YxYTVlYTM5MTZhOTIzNTI1Y2QiLCJ1c2VySWQiOiIxNDY2MDgwODYxIn0=</vt:lpwstr>
  </property>
</Properties>
</file>