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F6C50">
      <w:pPr>
        <w:spacing w:line="400" w:lineRule="exact"/>
        <w:ind w:firstLine="600" w:firstLineChars="250"/>
        <w:jc w:val="right"/>
        <w:rPr>
          <w:rFonts w:hint="eastAsia" w:ascii="黑体" w:hAnsi="黑体" w:eastAsia="黑体" w:cs="黑体"/>
          <w:sz w:val="24"/>
          <w:highlight w:val="none"/>
        </w:rPr>
      </w:pPr>
      <w:bookmarkStart w:id="0" w:name="_GoBack"/>
      <w:bookmarkEnd w:id="0"/>
    </w:p>
    <w:p w14:paraId="744B3A76">
      <w:pPr>
        <w:spacing w:line="600" w:lineRule="exact"/>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资产入账选定资产评估机构项目</w:t>
      </w:r>
    </w:p>
    <w:p w14:paraId="050EB562">
      <w:pPr>
        <w:spacing w:line="600" w:lineRule="exact"/>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邀请文件</w:t>
      </w:r>
    </w:p>
    <w:p w14:paraId="20513577">
      <w:pPr>
        <w:spacing w:line="440" w:lineRule="exact"/>
        <w:rPr>
          <w:rFonts w:hint="eastAsia" w:ascii="黑体" w:hAnsi="黑体" w:eastAsia="黑体" w:cs="黑体"/>
          <w:b/>
          <w:bCs/>
          <w:sz w:val="24"/>
          <w:highlight w:val="none"/>
          <w:u w:val="single"/>
        </w:rPr>
      </w:pPr>
    </w:p>
    <w:p w14:paraId="667CC6EF">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u w:val="single"/>
        </w:rPr>
        <w:t>资产入账选定资产评估机构项目</w:t>
      </w:r>
      <w:r>
        <w:rPr>
          <w:rFonts w:hint="eastAsia" w:ascii="黑体" w:hAnsi="黑体" w:eastAsia="黑体" w:cs="黑体"/>
          <w:highlight w:val="none"/>
        </w:rPr>
        <w:t>资金来自</w:t>
      </w:r>
      <w:r>
        <w:rPr>
          <w:rFonts w:hint="eastAsia" w:ascii="黑体" w:hAnsi="黑体" w:eastAsia="黑体" w:cs="黑体"/>
          <w:highlight w:val="none"/>
          <w:u w:val="single"/>
        </w:rPr>
        <w:t>企业自筹</w:t>
      </w:r>
      <w:r>
        <w:rPr>
          <w:rFonts w:hint="eastAsia" w:ascii="黑体" w:hAnsi="黑体" w:eastAsia="黑体" w:cs="黑体"/>
          <w:highlight w:val="none"/>
        </w:rPr>
        <w:t>，项目出资比例为100%，相关资料已齐备，招标人为</w:t>
      </w:r>
      <w:r>
        <w:rPr>
          <w:rFonts w:hint="eastAsia" w:ascii="黑体" w:hAnsi="黑体" w:eastAsia="黑体" w:cs="黑体"/>
          <w:highlight w:val="none"/>
          <w:u w:val="single"/>
        </w:rPr>
        <w:t>桐城市天正控股集团有限公司</w:t>
      </w:r>
      <w:r>
        <w:rPr>
          <w:rFonts w:hint="eastAsia" w:ascii="黑体" w:hAnsi="黑体" w:eastAsia="黑体" w:cs="黑体"/>
          <w:highlight w:val="none"/>
        </w:rPr>
        <w:t>。项目已具备采购条件，现对该项目进行邀请招标。</w:t>
      </w:r>
    </w:p>
    <w:p w14:paraId="5BE89B36">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一、项目基本概括</w:t>
      </w:r>
    </w:p>
    <w:p w14:paraId="05973F09">
      <w:pPr>
        <w:spacing w:line="400" w:lineRule="exact"/>
        <w:ind w:left="454" w:leftChars="216" w:firstLine="81" w:firstLineChars="34"/>
        <w:rPr>
          <w:rFonts w:hint="eastAsia" w:ascii="黑体" w:hAnsi="黑体" w:eastAsia="黑体" w:cs="黑体"/>
          <w:kern w:val="0"/>
          <w:sz w:val="24"/>
          <w:highlight w:val="none"/>
        </w:rPr>
      </w:pPr>
      <w:r>
        <w:rPr>
          <w:rFonts w:hint="eastAsia" w:ascii="黑体" w:hAnsi="黑体" w:eastAsia="黑体" w:cs="黑体"/>
          <w:kern w:val="0"/>
          <w:sz w:val="24"/>
          <w:highlight w:val="none"/>
        </w:rPr>
        <w:t>1</w:t>
      </w:r>
      <w:r>
        <w:rPr>
          <w:rFonts w:hint="eastAsia" w:ascii="黑体" w:hAnsi="黑体" w:eastAsia="黑体" w:cs="黑体"/>
          <w:sz w:val="24"/>
          <w:highlight w:val="none"/>
        </w:rPr>
        <w:t>、</w:t>
      </w:r>
      <w:r>
        <w:rPr>
          <w:rFonts w:hint="eastAsia" w:ascii="黑体" w:hAnsi="黑体" w:eastAsia="黑体" w:cs="黑体"/>
          <w:kern w:val="0"/>
          <w:sz w:val="24"/>
          <w:highlight w:val="none"/>
        </w:rPr>
        <w:t>项目名称：资产入账选定资产评估机构项目</w:t>
      </w:r>
    </w:p>
    <w:p w14:paraId="1659FCA3">
      <w:pPr>
        <w:spacing w:line="400" w:lineRule="exact"/>
        <w:ind w:firstLine="518" w:firstLineChars="216"/>
        <w:rPr>
          <w:rFonts w:hint="eastAsia" w:ascii="黑体" w:hAnsi="黑体" w:eastAsia="黑体" w:cs="黑体"/>
          <w:kern w:val="0"/>
          <w:sz w:val="24"/>
          <w:highlight w:val="none"/>
        </w:rPr>
      </w:pPr>
      <w:r>
        <w:rPr>
          <w:rFonts w:hint="eastAsia" w:ascii="黑体" w:hAnsi="黑体" w:eastAsia="黑体" w:cs="黑体"/>
          <w:kern w:val="0"/>
          <w:sz w:val="24"/>
          <w:highlight w:val="none"/>
        </w:rPr>
        <w:t>2</w:t>
      </w:r>
      <w:r>
        <w:rPr>
          <w:rFonts w:hint="eastAsia" w:ascii="黑体" w:hAnsi="黑体" w:eastAsia="黑体" w:cs="黑体"/>
          <w:sz w:val="24"/>
          <w:highlight w:val="none"/>
        </w:rPr>
        <w:t>、</w:t>
      </w:r>
      <w:r>
        <w:rPr>
          <w:rFonts w:hint="eastAsia" w:ascii="黑体" w:hAnsi="黑体" w:eastAsia="黑体" w:cs="黑体"/>
          <w:kern w:val="0"/>
          <w:sz w:val="24"/>
          <w:highlight w:val="none"/>
        </w:rPr>
        <w:t xml:space="preserve">项目地点：桐城市 </w:t>
      </w:r>
    </w:p>
    <w:p w14:paraId="153DADD1">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sz w:val="24"/>
          <w:highlight w:val="none"/>
        </w:rPr>
        <w:t>3、最高限价：29万元</w:t>
      </w:r>
    </w:p>
    <w:p w14:paraId="7A41F208">
      <w:pPr>
        <w:spacing w:line="400" w:lineRule="exact"/>
        <w:ind w:firstLine="518" w:firstLineChars="216"/>
        <w:rPr>
          <w:rFonts w:hint="eastAsia" w:ascii="黑体" w:hAnsi="黑体" w:eastAsia="黑体" w:cs="黑体"/>
          <w:kern w:val="0"/>
          <w:sz w:val="24"/>
          <w:highlight w:val="none"/>
          <w:u w:val="single"/>
        </w:rPr>
      </w:pPr>
      <w:r>
        <w:rPr>
          <w:rFonts w:hint="eastAsia" w:ascii="黑体" w:hAnsi="黑体" w:eastAsia="黑体" w:cs="黑体"/>
          <w:kern w:val="0"/>
          <w:sz w:val="24"/>
          <w:highlight w:val="none"/>
        </w:rPr>
        <w:t>4、服务期：自签订合同至资产入账事宜结束为止</w:t>
      </w:r>
    </w:p>
    <w:p w14:paraId="4EEF0535">
      <w:pPr>
        <w:spacing w:line="400" w:lineRule="exact"/>
        <w:ind w:left="479" w:leftChars="228"/>
        <w:rPr>
          <w:rFonts w:hint="eastAsia" w:ascii="黑体" w:hAnsi="黑体" w:eastAsia="黑体" w:cs="黑体"/>
          <w:sz w:val="24"/>
          <w:szCs w:val="32"/>
          <w:highlight w:val="none"/>
        </w:rPr>
      </w:pPr>
      <w:r>
        <w:rPr>
          <w:rFonts w:hint="eastAsia" w:ascii="黑体" w:hAnsi="黑体" w:eastAsia="黑体" w:cs="黑体"/>
          <w:sz w:val="24"/>
          <w:highlight w:val="none"/>
        </w:rPr>
        <w:t>5、</w:t>
      </w:r>
      <w:r>
        <w:rPr>
          <w:rFonts w:hint="eastAsia" w:ascii="黑体" w:hAnsi="黑体" w:eastAsia="黑体" w:cs="黑体"/>
          <w:sz w:val="24"/>
          <w:szCs w:val="32"/>
          <w:highlight w:val="none"/>
        </w:rPr>
        <w:t>项目服务内容：资产入账选定资产评估机构项目，详见采购需求。</w:t>
      </w:r>
    </w:p>
    <w:p w14:paraId="42A79619">
      <w:pPr>
        <w:spacing w:line="400" w:lineRule="exact"/>
        <w:ind w:firstLine="482" w:firstLineChars="200"/>
        <w:rPr>
          <w:rFonts w:hint="eastAsia" w:ascii="黑体" w:hAnsi="黑体" w:eastAsia="黑体" w:cs="黑体"/>
          <w:b/>
          <w:bCs/>
          <w:sz w:val="24"/>
          <w:highlight w:val="none"/>
        </w:rPr>
      </w:pPr>
      <w:r>
        <w:rPr>
          <w:rFonts w:hint="eastAsia" w:ascii="黑体" w:hAnsi="黑体" w:eastAsia="黑体" w:cs="黑体"/>
          <w:b/>
          <w:bCs/>
          <w:sz w:val="24"/>
          <w:highlight w:val="none"/>
        </w:rPr>
        <w:t>二、资质要求</w:t>
      </w:r>
    </w:p>
    <w:p w14:paraId="323620BD">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1.投标人应具有合法有效的营业执照；</w:t>
      </w:r>
    </w:p>
    <w:p w14:paraId="6192BC76">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2.投标人应当具有良好信誉。投标人及其法定代表人、拟任本项目的项目负责人未被列入全国法院失信被执行人名单（“信用中国”网站（www.creditchina.gov.cn）的“失信被执行人”查询截图或做出承诺）；</w:t>
      </w:r>
    </w:p>
    <w:p w14:paraId="5554F7D9">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3.本项目不接受联合体投标；</w:t>
      </w:r>
    </w:p>
    <w:p w14:paraId="37B518C6">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4.项目的特定资格要求。</w:t>
      </w:r>
    </w:p>
    <w:p w14:paraId="39842EB5">
      <w:pPr>
        <w:pStyle w:val="11"/>
        <w:spacing w:line="400" w:lineRule="exact"/>
        <w:ind w:firstLine="480" w:firstLineChars="200"/>
        <w:jc w:val="both"/>
        <w:rPr>
          <w:rFonts w:hint="eastAsia" w:ascii="黑体" w:hAnsi="黑体" w:eastAsia="黑体" w:cs="黑体"/>
          <w:highlight w:val="none"/>
        </w:rPr>
      </w:pPr>
      <w:r>
        <w:rPr>
          <w:rFonts w:hint="eastAsia" w:ascii="黑体" w:hAnsi="黑体" w:eastAsia="黑体" w:cs="黑体"/>
          <w:highlight w:val="none"/>
        </w:rPr>
        <w:t>（1）供应商应具备经财政部门登记备案并完成备案公告的资产评估机构，供应商须提供相关证明材料并加盖供应商公章。</w:t>
      </w:r>
    </w:p>
    <w:p w14:paraId="1F00BA3C">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sz w:val="24"/>
          <w:highlight w:val="none"/>
        </w:rPr>
        <w:t>（2）拟派项目负责人须具备资产评估师资格。</w:t>
      </w:r>
    </w:p>
    <w:p w14:paraId="79F55986">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三、投标前须知</w:t>
      </w:r>
    </w:p>
    <w:p w14:paraId="54785FB1">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本项目付款方式：转账付款，出具正式报告后7日内付清评估费。</w:t>
      </w:r>
    </w:p>
    <w:p w14:paraId="28FBE670">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四、报价部分</w:t>
      </w:r>
    </w:p>
    <w:p w14:paraId="62C4280F">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1、您的报价一经认可，即为签订合同的最终依据。报价总金额含本次项目内容和其他任务的所有费用。</w:t>
      </w:r>
    </w:p>
    <w:p w14:paraId="1A41AB55">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2、超过最高限价为无效报价，所有投标人报价中不高于最高控制价且资格评审完成后评审小组按综合得分由高到低进行排序，选出得分最高的投标人作为中标候选人。</w:t>
      </w:r>
    </w:p>
    <w:p w14:paraId="64569439">
      <w:pPr>
        <w:spacing w:line="360" w:lineRule="auto"/>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3、如出现两家及以上得分相同，将确定报价低的为预中标人；如得分和报价均相同，则由招标人现场抽签决定预中标人。</w:t>
      </w:r>
    </w:p>
    <w:p w14:paraId="68813F52">
      <w:pPr>
        <w:spacing w:line="360" w:lineRule="auto"/>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五、投标文件的组成</w:t>
      </w:r>
    </w:p>
    <w:p w14:paraId="41672D37">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资格审查部分主要包括下列内容：</w:t>
      </w:r>
    </w:p>
    <w:p w14:paraId="2E3E7D8F">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1、法定代表人身份证明书(原件，格式详见附件1)及法人身份证复印件</w:t>
      </w:r>
    </w:p>
    <w:p w14:paraId="2E63A3FA">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2、授权委托书（格式详见附件2）及被授权人身份证复印件（如授权委托参加开标会的）</w:t>
      </w:r>
    </w:p>
    <w:p w14:paraId="3F967D2B">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3、营业执照</w:t>
      </w:r>
    </w:p>
    <w:p w14:paraId="0B4CC22D">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4、投标人良好信誉证明</w:t>
      </w:r>
    </w:p>
    <w:p w14:paraId="1AC1ECE0">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5、项目的特定资格证明材料</w:t>
      </w:r>
    </w:p>
    <w:p w14:paraId="1CA90D84">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6、服务内容及要求响应表</w:t>
      </w:r>
    </w:p>
    <w:p w14:paraId="1C784703">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技术部分主要包括下列内容：</w:t>
      </w:r>
    </w:p>
    <w:p w14:paraId="4D49118F">
      <w:pPr>
        <w:spacing w:line="400" w:lineRule="exact"/>
        <w:ind w:firstLine="480" w:firstLineChars="200"/>
        <w:rPr>
          <w:rFonts w:hint="eastAsia" w:ascii="黑体" w:hAnsi="黑体" w:eastAsia="黑体" w:cs="黑体"/>
          <w:kern w:val="0"/>
          <w:sz w:val="24"/>
          <w:highlight w:val="none"/>
        </w:rPr>
      </w:pPr>
      <w:r>
        <w:rPr>
          <w:rFonts w:ascii="黑体" w:hAnsi="黑体" w:eastAsia="黑体" w:cs="黑体"/>
          <w:kern w:val="0"/>
          <w:sz w:val="24"/>
          <w:highlight w:val="none"/>
        </w:rPr>
        <w:t>根据评分标准要求提供材料，格式自理。</w:t>
      </w:r>
    </w:p>
    <w:p w14:paraId="07338221">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商务部分主要包括下列内容：</w:t>
      </w:r>
    </w:p>
    <w:p w14:paraId="5E13E408">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1、响应函</w:t>
      </w:r>
    </w:p>
    <w:p w14:paraId="3C200204">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2、报价表</w:t>
      </w:r>
    </w:p>
    <w:p w14:paraId="32FA17A4">
      <w:pPr>
        <w:spacing w:line="400" w:lineRule="exact"/>
        <w:ind w:firstLine="480" w:firstLineChars="200"/>
        <w:rPr>
          <w:rFonts w:hint="eastAsia" w:ascii="黑体" w:hAnsi="黑体" w:eastAsia="黑体" w:cs="黑体"/>
          <w:b/>
          <w:sz w:val="24"/>
          <w:highlight w:val="none"/>
        </w:rPr>
      </w:pPr>
      <w:r>
        <w:rPr>
          <w:rFonts w:hint="eastAsia" w:ascii="黑体" w:hAnsi="黑体" w:eastAsia="黑体" w:cs="黑体"/>
          <w:kern w:val="0"/>
          <w:sz w:val="24"/>
          <w:highlight w:val="none"/>
        </w:rPr>
        <w:t>注：</w:t>
      </w:r>
      <w:r>
        <w:rPr>
          <w:rFonts w:hint="eastAsia" w:ascii="黑体" w:hAnsi="黑体" w:eastAsia="黑体" w:cs="黑体"/>
          <w:b/>
          <w:sz w:val="24"/>
          <w:highlight w:val="none"/>
        </w:rPr>
        <w:t>以上各项需加盖投标人公章。响应文件一正一副，并在密封袋上清楚的注明项目名称（备注：①资格审查部分正、副本，一起装袋密封，并在密封袋上清楚的注明“资格审查部分”；技术部分正、副本，一起装袋密封，并在密封袋上清楚的注明“技术部分”；商务部分正、副本，一起装袋密封，并在密封袋上清楚的注明“商务部分”。②比选响应文件必须胶订或线订形式装订成册，活页装订（是指用卡条、抽杆夹、订书机等形式装订，使标书可以拆卸或者在翻动过程中易脱落的一种装订方式）的比选响应文件作无效响应处理。</w:t>
      </w:r>
    </w:p>
    <w:p w14:paraId="678BF696">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注：因特殊原因不能到场参加开标的，可与比选人或代理机构联系，通过邮寄的方式于开标前将响应文件寄至</w:t>
      </w:r>
      <w:r>
        <w:rPr>
          <w:rFonts w:hint="eastAsia" w:ascii="黑体" w:hAnsi="黑体" w:eastAsia="黑体" w:cs="黑体"/>
          <w:b/>
          <w:sz w:val="24"/>
          <w:highlight w:val="none"/>
          <w:lang w:val="en-US" w:eastAsia="zh-CN"/>
        </w:rPr>
        <w:t>招标人</w:t>
      </w:r>
      <w:r>
        <w:rPr>
          <w:rFonts w:hint="eastAsia" w:ascii="黑体" w:hAnsi="黑体" w:eastAsia="黑体" w:cs="黑体"/>
          <w:b/>
          <w:sz w:val="24"/>
          <w:highlight w:val="none"/>
        </w:rPr>
        <w:t>或代理机构。</w:t>
      </w:r>
    </w:p>
    <w:p w14:paraId="3F69AD4B">
      <w:pPr>
        <w:spacing w:line="40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六、投标文件提交地点和时间</w:t>
      </w:r>
    </w:p>
    <w:p w14:paraId="5429F15C">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kern w:val="0"/>
          <w:sz w:val="24"/>
          <w:highlight w:val="none"/>
        </w:rPr>
        <w:t>请接到邀请函的投标人，按照此文件要求制作投标文件，于</w:t>
      </w:r>
      <w:r>
        <w:rPr>
          <w:rFonts w:hint="eastAsia" w:ascii="黑体" w:hAnsi="黑体" w:eastAsia="黑体" w:cs="黑体"/>
          <w:b/>
          <w:bCs/>
          <w:sz w:val="25"/>
          <w:highlight w:val="none"/>
          <w:u w:val="single"/>
        </w:rPr>
        <w:t>2025年</w:t>
      </w:r>
      <w:r>
        <w:rPr>
          <w:rFonts w:hint="eastAsia" w:ascii="黑体" w:hAnsi="黑体" w:eastAsia="黑体" w:cs="黑体"/>
          <w:b/>
          <w:bCs/>
          <w:sz w:val="25"/>
          <w:highlight w:val="none"/>
          <w:u w:val="single"/>
          <w:lang w:val="en-US" w:eastAsia="zh-CN"/>
        </w:rPr>
        <w:t>8</w:t>
      </w:r>
      <w:r>
        <w:rPr>
          <w:rFonts w:hint="eastAsia" w:ascii="黑体" w:hAnsi="黑体" w:eastAsia="黑体" w:cs="黑体"/>
          <w:b/>
          <w:bCs/>
          <w:sz w:val="25"/>
          <w:highlight w:val="none"/>
          <w:u w:val="single"/>
        </w:rPr>
        <w:t>月</w:t>
      </w:r>
      <w:r>
        <w:rPr>
          <w:rFonts w:hint="eastAsia" w:ascii="黑体" w:hAnsi="黑体" w:eastAsia="黑体" w:cs="黑体"/>
          <w:b/>
          <w:bCs/>
          <w:sz w:val="25"/>
          <w:highlight w:val="none"/>
          <w:u w:val="single"/>
          <w:lang w:val="en-US" w:eastAsia="zh-CN"/>
        </w:rPr>
        <w:t>21</w:t>
      </w:r>
      <w:r>
        <w:rPr>
          <w:rFonts w:hint="eastAsia" w:ascii="黑体" w:hAnsi="黑体" w:eastAsia="黑体" w:cs="黑体"/>
          <w:b/>
          <w:bCs/>
          <w:sz w:val="25"/>
          <w:highlight w:val="none"/>
          <w:u w:val="single"/>
        </w:rPr>
        <w:t>日</w:t>
      </w:r>
      <w:r>
        <w:rPr>
          <w:rFonts w:hint="eastAsia" w:ascii="黑体" w:hAnsi="黑体" w:eastAsia="黑体" w:cs="黑体"/>
          <w:b/>
          <w:bCs/>
          <w:sz w:val="25"/>
          <w:highlight w:val="none"/>
          <w:u w:val="single"/>
          <w:lang w:val="en-US" w:eastAsia="zh-CN"/>
        </w:rPr>
        <w:t>09</w:t>
      </w:r>
      <w:r>
        <w:rPr>
          <w:rFonts w:hint="eastAsia" w:ascii="黑体" w:hAnsi="黑体" w:eastAsia="黑体" w:cs="黑体"/>
          <w:b/>
          <w:bCs/>
          <w:sz w:val="25"/>
          <w:highlight w:val="none"/>
          <w:u w:val="single"/>
        </w:rPr>
        <w:t>时</w:t>
      </w:r>
      <w:r>
        <w:rPr>
          <w:rFonts w:hint="eastAsia" w:ascii="黑体" w:hAnsi="黑体" w:eastAsia="黑体" w:cs="黑体"/>
          <w:b/>
          <w:bCs/>
          <w:sz w:val="25"/>
          <w:highlight w:val="none"/>
          <w:u w:val="single"/>
          <w:lang w:val="en-US" w:eastAsia="zh-CN"/>
        </w:rPr>
        <w:t>00</w:t>
      </w:r>
      <w:r>
        <w:rPr>
          <w:rFonts w:hint="eastAsia" w:ascii="黑体" w:hAnsi="黑体" w:eastAsia="黑体" w:cs="黑体"/>
          <w:b/>
          <w:bCs/>
          <w:sz w:val="25"/>
          <w:highlight w:val="none"/>
          <w:u w:val="single"/>
        </w:rPr>
        <w:t>分</w:t>
      </w:r>
      <w:r>
        <w:rPr>
          <w:rFonts w:hint="eastAsia" w:ascii="黑体" w:hAnsi="黑体" w:eastAsia="黑体" w:cs="黑体"/>
          <w:kern w:val="0"/>
          <w:sz w:val="24"/>
          <w:highlight w:val="none"/>
        </w:rPr>
        <w:t xml:space="preserve">持法定代表人授权委托书到 </w:t>
      </w:r>
      <w:r>
        <w:rPr>
          <w:rFonts w:hint="eastAsia" w:ascii="黑体" w:hAnsi="黑体" w:eastAsia="黑体" w:cs="黑体"/>
          <w:b/>
          <w:bCs/>
          <w:sz w:val="24"/>
          <w:highlight w:val="none"/>
          <w:u w:val="single"/>
        </w:rPr>
        <w:t xml:space="preserve">桐城市天正控股集团有限公司 </w:t>
      </w:r>
      <w:r>
        <w:rPr>
          <w:rFonts w:hint="eastAsia" w:ascii="黑体" w:hAnsi="黑体" w:eastAsia="黑体" w:cs="黑体"/>
          <w:b/>
          <w:bCs/>
          <w:sz w:val="24"/>
          <w:highlight w:val="none"/>
          <w:u w:val="single"/>
          <w:lang w:val="en-US" w:eastAsia="zh-CN"/>
        </w:rPr>
        <w:t>8</w:t>
      </w:r>
      <w:r>
        <w:rPr>
          <w:rFonts w:hint="eastAsia" w:ascii="黑体" w:hAnsi="黑体" w:eastAsia="黑体" w:cs="黑体"/>
          <w:b/>
          <w:bCs/>
          <w:sz w:val="24"/>
          <w:highlight w:val="none"/>
          <w:u w:val="single"/>
        </w:rPr>
        <w:t xml:space="preserve"> 楼会议室 </w:t>
      </w:r>
      <w:r>
        <w:rPr>
          <w:rFonts w:hint="eastAsia" w:ascii="黑体" w:hAnsi="黑体" w:eastAsia="黑体" w:cs="黑体"/>
          <w:kern w:val="0"/>
          <w:sz w:val="24"/>
          <w:highlight w:val="none"/>
        </w:rPr>
        <w:t>参加开标会，逾时则视为自动放弃。</w:t>
      </w:r>
    </w:p>
    <w:p w14:paraId="681D2B77">
      <w:pPr>
        <w:pStyle w:val="5"/>
        <w:spacing w:line="400" w:lineRule="exact"/>
        <w:ind w:firstLine="482" w:firstLineChars="200"/>
        <w:rPr>
          <w:rFonts w:hint="eastAsia" w:ascii="黑体" w:hAnsi="黑体" w:eastAsia="黑体" w:cs="黑体"/>
          <w:b/>
          <w:highlight w:val="none"/>
        </w:rPr>
      </w:pPr>
      <w:r>
        <w:rPr>
          <w:rFonts w:hint="eastAsia" w:ascii="黑体" w:hAnsi="黑体" w:eastAsia="黑体" w:cs="黑体"/>
          <w:b/>
          <w:highlight w:val="none"/>
        </w:rPr>
        <w:t>七、标书评定</w:t>
      </w:r>
    </w:p>
    <w:p w14:paraId="4219544A">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（1）开标</w:t>
      </w:r>
    </w:p>
    <w:p w14:paraId="60C36F7A">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开标将按本公告中规定的时间、地点以公开方式进行。开标会由招标人代表、投标人代表和有关方代表参加。有效文件开标前，投标人代表应检查投标文件的密封情况，确认无误后，由有关工作人员当众启封，宣读有效投标人名称、投标文件的报价和可能的澄清、说明等关键备注文件，以及招标人认为合适的其他内容。招标人做好开标记录，记录须由有关人员签字存档备查。</w:t>
      </w:r>
    </w:p>
    <w:p w14:paraId="449877EF">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（2）评标</w:t>
      </w:r>
    </w:p>
    <w:p w14:paraId="283DD2C8">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负责组建评标小组。评标小组由招标人代表、技术等方面的人员组成，成员由三人或以上单数人员构成。评标小组全面负责评标工作。依据公平、公正原则，评标小组应全面、充分地审阅投标文件，进行评审和比较，采用“综合评分法”得出评价结论。完成评标后，评标小组应提出书面评标报告，并由评标小组全体成员签字。</w:t>
      </w:r>
    </w:p>
    <w:p w14:paraId="66CC1D05">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及评标组的权利。在有充分理由的前提下，评标小组有选择或拒绝任何投标人中标的权利，以及宣布招标程序无效或拒绝所有的投标者的权利。为此，招标单位无须向受影响的投标人承担任何责任，也无须将这样做的理由通知受影响的投标人。</w:t>
      </w:r>
    </w:p>
    <w:p w14:paraId="3F8224E7">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评标过程的保密性。凡属于审查、澄清、评价和比较投标的有关资料以及中标候选人等，评标小组及有关工作人员自始至终均不得向投标人或与其有关人员透露。在评标过程中，投标人不得通过任何单位和个人对招标单位施加任何影响，否则将会导致其投标被拒绝。</w:t>
      </w:r>
    </w:p>
    <w:p w14:paraId="7ECE94D2">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（3）定标</w:t>
      </w:r>
    </w:p>
    <w:p w14:paraId="56303380">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招标人自评标结束之日起2个工作日内公示中选候选人，公示期为1个工作日。公示期收到评标结果异议的，按相关法规处理。</w:t>
      </w:r>
    </w:p>
    <w:p w14:paraId="12348F0B">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（4）中标通知书</w:t>
      </w:r>
    </w:p>
    <w:p w14:paraId="05604ECC">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招标人向中标人发出中标通知书。中标人应当在通知规定的时间、地点和招标人签订采购合同。</w:t>
      </w:r>
    </w:p>
    <w:p w14:paraId="5ABBAB9E">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（5）违约责任</w:t>
      </w:r>
    </w:p>
    <w:p w14:paraId="6CB3BF7C">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中标通知书发出后，招标人改变中标结果的，或者中标人放弃中标的，应当依法承担法律责任。</w:t>
      </w:r>
    </w:p>
    <w:p w14:paraId="46C5F840">
      <w:pPr>
        <w:pStyle w:val="5"/>
        <w:spacing w:before="0"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（6）代理服务费按</w:t>
      </w:r>
      <w:r>
        <w:rPr>
          <w:rFonts w:hint="eastAsia" w:ascii="黑体" w:hAnsi="黑体" w:eastAsia="黑体" w:cs="黑体"/>
          <w:kern w:val="0"/>
          <w:highlight w:val="none"/>
          <w:lang w:val="en-US" w:eastAsia="zh-CN"/>
        </w:rPr>
        <w:t>成交价的1.5%</w:t>
      </w:r>
      <w:r>
        <w:rPr>
          <w:rFonts w:hint="eastAsia" w:ascii="黑体" w:hAnsi="黑体" w:eastAsia="黑体" w:cs="黑体"/>
          <w:kern w:val="0"/>
          <w:highlight w:val="none"/>
        </w:rPr>
        <w:t>收取</w:t>
      </w:r>
      <w:r>
        <w:rPr>
          <w:rFonts w:hint="eastAsia" w:ascii="黑体" w:hAnsi="黑体" w:eastAsia="黑体" w:cs="黑体"/>
          <w:b/>
          <w:bCs/>
          <w:kern w:val="0"/>
          <w:highlight w:val="none"/>
        </w:rPr>
        <w:t>，</w:t>
      </w:r>
      <w:r>
        <w:rPr>
          <w:rFonts w:hint="eastAsia" w:ascii="黑体" w:hAnsi="黑体" w:eastAsia="黑体" w:cs="黑体"/>
          <w:kern w:val="0"/>
          <w:highlight w:val="none"/>
        </w:rPr>
        <w:t>由中标单位支付。</w:t>
      </w:r>
    </w:p>
    <w:p w14:paraId="33D180FF">
      <w:pPr>
        <w:pStyle w:val="5"/>
        <w:spacing w:line="400" w:lineRule="exact"/>
        <w:ind w:firstLine="482" w:firstLineChars="200"/>
        <w:rPr>
          <w:rFonts w:hint="eastAsia" w:ascii="黑体" w:hAnsi="黑体" w:eastAsia="黑体" w:cs="黑体"/>
          <w:b/>
          <w:bCs/>
          <w:kern w:val="0"/>
          <w:highlight w:val="none"/>
        </w:rPr>
      </w:pPr>
      <w:r>
        <w:rPr>
          <w:rFonts w:hint="eastAsia" w:ascii="黑体" w:hAnsi="黑体" w:eastAsia="黑体" w:cs="黑体"/>
          <w:b/>
          <w:bCs/>
          <w:kern w:val="0"/>
          <w:highlight w:val="none"/>
        </w:rPr>
        <w:t>八、签订合同</w:t>
      </w:r>
    </w:p>
    <w:p w14:paraId="074E9700">
      <w:pPr>
        <w:pStyle w:val="5"/>
        <w:spacing w:line="400" w:lineRule="exact"/>
        <w:ind w:firstLine="480" w:firstLineChars="200"/>
        <w:rPr>
          <w:rFonts w:hint="eastAsia" w:ascii="黑体" w:hAnsi="黑体" w:eastAsia="黑体" w:cs="黑体"/>
          <w:kern w:val="0"/>
          <w:highlight w:val="none"/>
        </w:rPr>
      </w:pPr>
      <w:r>
        <w:rPr>
          <w:rFonts w:hint="eastAsia" w:ascii="黑体" w:hAnsi="黑体" w:eastAsia="黑体" w:cs="黑体"/>
          <w:kern w:val="0"/>
          <w:highlight w:val="none"/>
        </w:rPr>
        <w:t>招标人和中标人在规定的时间地点签订本项目采购合同。投标须知、中标方的投标文件及评标过程中有关澄清、修改文件均应作为合同的附件，同具法律效力。</w:t>
      </w:r>
    </w:p>
    <w:p w14:paraId="6D037EBD">
      <w:pPr>
        <w:pStyle w:val="5"/>
        <w:spacing w:line="400" w:lineRule="exact"/>
        <w:ind w:firstLine="482" w:firstLineChars="200"/>
        <w:rPr>
          <w:rFonts w:hint="eastAsia" w:ascii="黑体" w:hAnsi="黑体" w:eastAsia="黑体" w:cs="黑体"/>
          <w:b/>
          <w:highlight w:val="none"/>
        </w:rPr>
      </w:pPr>
      <w:r>
        <w:rPr>
          <w:rFonts w:hint="eastAsia" w:ascii="黑体" w:hAnsi="黑体" w:eastAsia="黑体" w:cs="黑体"/>
          <w:b/>
          <w:bCs/>
          <w:kern w:val="0"/>
          <w:highlight w:val="none"/>
        </w:rPr>
        <w:t>九、</w:t>
      </w:r>
      <w:r>
        <w:rPr>
          <w:rFonts w:hint="eastAsia" w:ascii="黑体" w:hAnsi="黑体" w:eastAsia="黑体" w:cs="黑体"/>
          <w:b/>
          <w:highlight w:val="none"/>
        </w:rPr>
        <w:t>联系方式：</w:t>
      </w:r>
    </w:p>
    <w:p w14:paraId="3A220B27">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招标人：桐城市天正控股集团有限公司</w:t>
      </w:r>
    </w:p>
    <w:p w14:paraId="47129FA0">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联系人：</w:t>
      </w:r>
      <w:r>
        <w:rPr>
          <w:rFonts w:hint="eastAsia" w:ascii="黑体" w:hAnsi="黑体" w:eastAsia="黑体" w:cs="黑体"/>
          <w:kern w:val="0"/>
          <w:sz w:val="24"/>
          <w:highlight w:val="none"/>
          <w:lang w:val="en-US" w:eastAsia="zh-CN"/>
        </w:rPr>
        <w:t>程女士</w:t>
      </w:r>
      <w:r>
        <w:rPr>
          <w:rFonts w:hint="eastAsia" w:ascii="黑体" w:hAnsi="黑体" w:eastAsia="黑体" w:cs="黑体"/>
          <w:kern w:val="0"/>
          <w:sz w:val="24"/>
          <w:highlight w:val="none"/>
        </w:rPr>
        <w:t xml:space="preserve">      </w:t>
      </w:r>
    </w:p>
    <w:p w14:paraId="30828967">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sz w:val="24"/>
          <w:highlight w:val="none"/>
        </w:rPr>
        <w:t>联系电话：0556-6677200</w:t>
      </w:r>
    </w:p>
    <w:p w14:paraId="1ADE0AD0">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地  址：桐城市经济技术开发区东环路30号</w:t>
      </w:r>
    </w:p>
    <w:p w14:paraId="53519199">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代理公司：安庆宇屹工程咨询有限公司</w:t>
      </w:r>
    </w:p>
    <w:p w14:paraId="7B4B71B8">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联系人：余工</w:t>
      </w:r>
    </w:p>
    <w:p w14:paraId="1856A991">
      <w:pPr>
        <w:spacing w:line="400" w:lineRule="exact"/>
        <w:ind w:firstLine="480" w:firstLineChars="200"/>
        <w:rPr>
          <w:rFonts w:hint="eastAsia" w:ascii="黑体" w:hAnsi="黑体" w:eastAsia="黑体" w:cs="黑体"/>
          <w:kern w:val="0"/>
          <w:sz w:val="24"/>
          <w:highlight w:val="none"/>
        </w:rPr>
      </w:pPr>
      <w:r>
        <w:rPr>
          <w:rFonts w:hint="eastAsia" w:ascii="黑体" w:hAnsi="黑体" w:eastAsia="黑体" w:cs="黑体"/>
          <w:kern w:val="0"/>
          <w:sz w:val="24"/>
          <w:highlight w:val="none"/>
        </w:rPr>
        <w:t>电话：0556-6698168</w:t>
      </w:r>
    </w:p>
    <w:p w14:paraId="4FB3CDC2">
      <w:pPr>
        <w:spacing w:line="400" w:lineRule="exact"/>
        <w:ind w:firstLine="480" w:firstLineChars="200"/>
        <w:rPr>
          <w:rFonts w:hint="eastAsia" w:ascii="黑体" w:hAnsi="黑体" w:eastAsia="黑体" w:cs="黑体"/>
          <w:sz w:val="24"/>
          <w:highlight w:val="none"/>
        </w:rPr>
      </w:pPr>
      <w:r>
        <w:rPr>
          <w:rFonts w:hint="eastAsia" w:ascii="黑体" w:hAnsi="黑体" w:eastAsia="黑体" w:cs="黑体"/>
          <w:kern w:val="0"/>
          <w:sz w:val="24"/>
          <w:highlight w:val="none"/>
        </w:rPr>
        <w:t>地址：桐城市昌平路文昌苑B区门面房</w:t>
      </w:r>
    </w:p>
    <w:p w14:paraId="3FE95A27">
      <w:pPr>
        <w:spacing w:line="460" w:lineRule="exact"/>
        <w:rPr>
          <w:rFonts w:hint="eastAsia" w:ascii="黑体" w:hAnsi="黑体" w:eastAsia="黑体" w:cs="黑体"/>
          <w:kern w:val="0"/>
          <w:sz w:val="24"/>
          <w:highlight w:val="none"/>
        </w:rPr>
      </w:pPr>
    </w:p>
    <w:p w14:paraId="515544C3">
      <w:pPr>
        <w:wordWrap w:val="0"/>
        <w:spacing w:line="440" w:lineRule="exact"/>
        <w:ind w:left="454" w:leftChars="216" w:firstLine="429" w:firstLineChars="178"/>
        <w:jc w:val="right"/>
        <w:rPr>
          <w:rFonts w:hint="eastAsia" w:ascii="黑体" w:hAnsi="黑体" w:eastAsia="黑体" w:cs="黑体"/>
          <w:b/>
          <w:bCs/>
          <w:sz w:val="24"/>
          <w:highlight w:val="none"/>
        </w:rPr>
      </w:pPr>
    </w:p>
    <w:p w14:paraId="4F3BCFF8">
      <w:pPr>
        <w:wordWrap w:val="0"/>
        <w:spacing w:line="440" w:lineRule="exact"/>
        <w:ind w:left="454" w:leftChars="216" w:firstLine="429" w:firstLineChars="178"/>
        <w:jc w:val="right"/>
        <w:rPr>
          <w:rFonts w:hint="eastAsia" w:ascii="黑体" w:hAnsi="黑体" w:eastAsia="黑体" w:cs="黑体"/>
          <w:b/>
          <w:bCs/>
          <w:sz w:val="24"/>
          <w:highlight w:val="none"/>
        </w:rPr>
      </w:pPr>
    </w:p>
    <w:p w14:paraId="44A642D9">
      <w:pPr>
        <w:wordWrap w:val="0"/>
        <w:spacing w:line="440" w:lineRule="exact"/>
        <w:ind w:left="454" w:leftChars="216" w:firstLine="427" w:firstLineChars="178"/>
        <w:jc w:val="right"/>
        <w:rPr>
          <w:rFonts w:hint="eastAsia" w:ascii="黑体" w:hAnsi="黑体" w:eastAsia="黑体" w:cs="黑体"/>
          <w:sz w:val="24"/>
          <w:highlight w:val="none"/>
        </w:rPr>
      </w:pPr>
    </w:p>
    <w:p w14:paraId="395F4BEF">
      <w:pPr>
        <w:wordWrap w:val="0"/>
        <w:spacing w:line="440" w:lineRule="exact"/>
        <w:ind w:left="454" w:leftChars="216" w:firstLine="427" w:firstLineChars="178"/>
        <w:jc w:val="center"/>
        <w:rPr>
          <w:rFonts w:hint="eastAsia" w:ascii="黑体" w:hAnsi="黑体" w:eastAsia="黑体" w:cs="黑体"/>
          <w:sz w:val="24"/>
          <w:highlight w:val="none"/>
        </w:rPr>
      </w:pPr>
      <w:r>
        <w:rPr>
          <w:rFonts w:hint="eastAsia" w:ascii="黑体" w:hAnsi="黑体" w:eastAsia="黑体" w:cs="黑体"/>
          <w:sz w:val="24"/>
          <w:highlight w:val="none"/>
        </w:rPr>
        <w:t xml:space="preserve">                                           桐城市天正控股集团有限公司    </w:t>
      </w:r>
    </w:p>
    <w:p w14:paraId="0FB9D683">
      <w:pPr>
        <w:wordWrap w:val="0"/>
        <w:spacing w:line="480" w:lineRule="exact"/>
        <w:ind w:firstLine="600" w:firstLineChars="250"/>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 xml:space="preserve">                                          </w:t>
      </w:r>
      <w:r>
        <w:rPr>
          <w:rFonts w:hint="eastAsia" w:ascii="黑体" w:hAnsi="黑体" w:eastAsia="黑体" w:cs="黑体"/>
          <w:sz w:val="24"/>
          <w:highlight w:val="none"/>
        </w:rPr>
        <w:t>2025年0</w:t>
      </w:r>
      <w:r>
        <w:rPr>
          <w:rFonts w:hint="eastAsia" w:ascii="黑体" w:hAnsi="黑体" w:eastAsia="黑体" w:cs="黑体"/>
          <w:sz w:val="24"/>
          <w:highlight w:val="none"/>
          <w:lang w:val="en-US" w:eastAsia="zh-CN"/>
        </w:rPr>
        <w:t>8</w:t>
      </w:r>
      <w:r>
        <w:rPr>
          <w:rFonts w:hint="eastAsia" w:ascii="黑体" w:hAnsi="黑体" w:eastAsia="黑体" w:cs="黑体"/>
          <w:sz w:val="24"/>
          <w:highlight w:val="none"/>
        </w:rPr>
        <w:t>月</w:t>
      </w:r>
      <w:r>
        <w:rPr>
          <w:rFonts w:hint="eastAsia" w:ascii="黑体" w:hAnsi="黑体" w:eastAsia="黑体" w:cs="黑体"/>
          <w:sz w:val="24"/>
          <w:highlight w:val="none"/>
          <w:lang w:val="en-US" w:eastAsia="zh-CN"/>
        </w:rPr>
        <w:t>14</w:t>
      </w:r>
      <w:r>
        <w:rPr>
          <w:rFonts w:hint="eastAsia" w:ascii="黑体" w:hAnsi="黑体" w:eastAsia="黑体" w:cs="黑体"/>
          <w:sz w:val="24"/>
          <w:highlight w:val="none"/>
        </w:rPr>
        <w:t>日</w:t>
      </w:r>
    </w:p>
    <w:p w14:paraId="4CA16F45">
      <w:pPr>
        <w:rPr>
          <w:highlight w:val="none"/>
        </w:rPr>
      </w:pPr>
    </w:p>
    <w:sectPr>
      <w:footerReference r:id="rId3" w:type="default"/>
      <w:pgSz w:w="11906" w:h="16838"/>
      <w:pgMar w:top="1020" w:right="1020" w:bottom="102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E9F5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AB3DEB">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7AB3DEB">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85D54"/>
    <w:multiLevelType w:val="multilevel"/>
    <w:tmpl w:val="61D85D54"/>
    <w:lvl w:ilvl="0" w:tentative="0">
      <w:start w:val="2"/>
      <w:numFmt w:val="japaneseCounting"/>
      <w:lvlText w:val="第%1章"/>
      <w:lvlJc w:val="left"/>
      <w:pPr>
        <w:tabs>
          <w:tab w:val="left" w:pos="1770"/>
        </w:tabs>
        <w:ind w:left="1770" w:hanging="1770"/>
      </w:pPr>
      <w:rPr>
        <w:rFonts w:hint="eastAsia"/>
      </w:rPr>
    </w:lvl>
    <w:lvl w:ilvl="1" w:tentative="0">
      <w:start w:val="1"/>
      <w:numFmt w:val="decimal"/>
      <w:pStyle w:val="3"/>
      <w:lvlText w:val="%2、"/>
      <w:lvlJc w:val="left"/>
      <w:pPr>
        <w:tabs>
          <w:tab w:val="left" w:pos="2847"/>
        </w:tabs>
        <w:ind w:left="2847" w:hanging="720"/>
      </w:pPr>
      <w:rPr>
        <w:rFonts w:ascii="Times New Roman" w:hAnsi="Times New Roman" w:eastAsia="Times New Roman" w:cs="Times New Roman"/>
      </w:rPr>
    </w:lvl>
    <w:lvl w:ilvl="2" w:tentative="0">
      <w:start w:val="1"/>
      <w:numFmt w:val="upperLetter"/>
      <w:lvlText w:val="%3."/>
      <w:lvlJc w:val="left"/>
      <w:pPr>
        <w:tabs>
          <w:tab w:val="left" w:pos="1200"/>
        </w:tabs>
        <w:ind w:left="1200" w:hanging="360"/>
      </w:pPr>
      <w:rPr>
        <w:rFonts w:hint="eastAsia" w:ascii="Arial" w:hAnsi="Arial"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jBhZTk4MjM4ZjVlNjU2NGE2YjNmMDE1MDM2YWUifQ=="/>
  </w:docVars>
  <w:rsids>
    <w:rsidRoot w:val="02841CBB"/>
    <w:rsid w:val="00636811"/>
    <w:rsid w:val="00A828AA"/>
    <w:rsid w:val="00BC02B9"/>
    <w:rsid w:val="00D15B55"/>
    <w:rsid w:val="00EF196A"/>
    <w:rsid w:val="010C2C41"/>
    <w:rsid w:val="02522138"/>
    <w:rsid w:val="02841CBB"/>
    <w:rsid w:val="03010AA9"/>
    <w:rsid w:val="03503165"/>
    <w:rsid w:val="038C5B14"/>
    <w:rsid w:val="03B95FF4"/>
    <w:rsid w:val="03EE325B"/>
    <w:rsid w:val="03EF40BC"/>
    <w:rsid w:val="04E56F00"/>
    <w:rsid w:val="051756C8"/>
    <w:rsid w:val="052D2B5E"/>
    <w:rsid w:val="05953B8A"/>
    <w:rsid w:val="07D60576"/>
    <w:rsid w:val="07DB5D33"/>
    <w:rsid w:val="0863024E"/>
    <w:rsid w:val="087C0510"/>
    <w:rsid w:val="08DF61FE"/>
    <w:rsid w:val="09CD2C33"/>
    <w:rsid w:val="0A3665F0"/>
    <w:rsid w:val="0A453C09"/>
    <w:rsid w:val="0BCF396B"/>
    <w:rsid w:val="0C69495B"/>
    <w:rsid w:val="0D78051F"/>
    <w:rsid w:val="0E976F7B"/>
    <w:rsid w:val="0F5F60DE"/>
    <w:rsid w:val="0FCD04AF"/>
    <w:rsid w:val="100638F8"/>
    <w:rsid w:val="103C4234"/>
    <w:rsid w:val="112B55FC"/>
    <w:rsid w:val="119E1918"/>
    <w:rsid w:val="11D36F8A"/>
    <w:rsid w:val="121938B0"/>
    <w:rsid w:val="123A2157"/>
    <w:rsid w:val="13784C2D"/>
    <w:rsid w:val="13912AE9"/>
    <w:rsid w:val="149C3623"/>
    <w:rsid w:val="14DB1323"/>
    <w:rsid w:val="15304812"/>
    <w:rsid w:val="1635775C"/>
    <w:rsid w:val="16B844DC"/>
    <w:rsid w:val="18BC23B6"/>
    <w:rsid w:val="191A6DAE"/>
    <w:rsid w:val="1A0C4C11"/>
    <w:rsid w:val="1A1E5C84"/>
    <w:rsid w:val="1B757A3F"/>
    <w:rsid w:val="1C732BD3"/>
    <w:rsid w:val="1CA33A3D"/>
    <w:rsid w:val="1CC16FA2"/>
    <w:rsid w:val="1D7414B2"/>
    <w:rsid w:val="1DD065E2"/>
    <w:rsid w:val="1E012215"/>
    <w:rsid w:val="1E071A25"/>
    <w:rsid w:val="1F636C94"/>
    <w:rsid w:val="1F704485"/>
    <w:rsid w:val="1F884DA0"/>
    <w:rsid w:val="20DA73AD"/>
    <w:rsid w:val="211D4AB1"/>
    <w:rsid w:val="21AB74E8"/>
    <w:rsid w:val="22E94E4B"/>
    <w:rsid w:val="23C117DD"/>
    <w:rsid w:val="23FD6B57"/>
    <w:rsid w:val="24833D88"/>
    <w:rsid w:val="25627B1F"/>
    <w:rsid w:val="27C50DF1"/>
    <w:rsid w:val="27DD4256"/>
    <w:rsid w:val="288252E6"/>
    <w:rsid w:val="292D01DA"/>
    <w:rsid w:val="29C546B7"/>
    <w:rsid w:val="29E96D83"/>
    <w:rsid w:val="2A622692"/>
    <w:rsid w:val="2B624AD9"/>
    <w:rsid w:val="2B713F38"/>
    <w:rsid w:val="2C4E059F"/>
    <w:rsid w:val="2C5C383D"/>
    <w:rsid w:val="2C5C7914"/>
    <w:rsid w:val="2C9F26E2"/>
    <w:rsid w:val="2D236108"/>
    <w:rsid w:val="2E9E5AF5"/>
    <w:rsid w:val="2EF45AAA"/>
    <w:rsid w:val="2FB3622B"/>
    <w:rsid w:val="30BF3099"/>
    <w:rsid w:val="31401374"/>
    <w:rsid w:val="31943A79"/>
    <w:rsid w:val="32552470"/>
    <w:rsid w:val="32A57E8E"/>
    <w:rsid w:val="330A6297"/>
    <w:rsid w:val="34340B93"/>
    <w:rsid w:val="34A1323E"/>
    <w:rsid w:val="35BD09C9"/>
    <w:rsid w:val="3656072D"/>
    <w:rsid w:val="37386C54"/>
    <w:rsid w:val="381C561E"/>
    <w:rsid w:val="382C6518"/>
    <w:rsid w:val="396430B4"/>
    <w:rsid w:val="39730417"/>
    <w:rsid w:val="39EB4291"/>
    <w:rsid w:val="3A6D6732"/>
    <w:rsid w:val="3C0E02AC"/>
    <w:rsid w:val="3CAE7182"/>
    <w:rsid w:val="3EEF67D6"/>
    <w:rsid w:val="3F07020A"/>
    <w:rsid w:val="40866C82"/>
    <w:rsid w:val="40E74BFC"/>
    <w:rsid w:val="41110ACA"/>
    <w:rsid w:val="41B31CF9"/>
    <w:rsid w:val="41E055B7"/>
    <w:rsid w:val="421C39A7"/>
    <w:rsid w:val="43223950"/>
    <w:rsid w:val="43770B04"/>
    <w:rsid w:val="438F4569"/>
    <w:rsid w:val="445350CD"/>
    <w:rsid w:val="448804DD"/>
    <w:rsid w:val="454A4722"/>
    <w:rsid w:val="45595B50"/>
    <w:rsid w:val="45D65FB6"/>
    <w:rsid w:val="45DD7AC0"/>
    <w:rsid w:val="46587D12"/>
    <w:rsid w:val="4758766B"/>
    <w:rsid w:val="485C5DE1"/>
    <w:rsid w:val="493A48DA"/>
    <w:rsid w:val="49431B81"/>
    <w:rsid w:val="49C05CFB"/>
    <w:rsid w:val="4A3E3117"/>
    <w:rsid w:val="4D7F0506"/>
    <w:rsid w:val="4DE12A50"/>
    <w:rsid w:val="4DEF24B1"/>
    <w:rsid w:val="4F5D051E"/>
    <w:rsid w:val="50B46FCB"/>
    <w:rsid w:val="50C11B33"/>
    <w:rsid w:val="50EA4E6C"/>
    <w:rsid w:val="518C2BA1"/>
    <w:rsid w:val="520D6E55"/>
    <w:rsid w:val="53EA66D5"/>
    <w:rsid w:val="548A2AB1"/>
    <w:rsid w:val="54B147EB"/>
    <w:rsid w:val="54ED022C"/>
    <w:rsid w:val="554E480D"/>
    <w:rsid w:val="569C3057"/>
    <w:rsid w:val="5AEE7B39"/>
    <w:rsid w:val="5AFF6BA4"/>
    <w:rsid w:val="5DEB7B12"/>
    <w:rsid w:val="5E1913AA"/>
    <w:rsid w:val="5EC3516B"/>
    <w:rsid w:val="5F3E4279"/>
    <w:rsid w:val="5F4F278A"/>
    <w:rsid w:val="5F5B6B5A"/>
    <w:rsid w:val="5F6917F1"/>
    <w:rsid w:val="61154AB0"/>
    <w:rsid w:val="61377DF9"/>
    <w:rsid w:val="621728AB"/>
    <w:rsid w:val="622D591A"/>
    <w:rsid w:val="62723250"/>
    <w:rsid w:val="627A58B1"/>
    <w:rsid w:val="62BC7E8A"/>
    <w:rsid w:val="62D578C9"/>
    <w:rsid w:val="631931D8"/>
    <w:rsid w:val="63260A52"/>
    <w:rsid w:val="637606B0"/>
    <w:rsid w:val="63AB4186"/>
    <w:rsid w:val="63B6767F"/>
    <w:rsid w:val="646332F8"/>
    <w:rsid w:val="64B942DC"/>
    <w:rsid w:val="6510393F"/>
    <w:rsid w:val="67441CAB"/>
    <w:rsid w:val="69253374"/>
    <w:rsid w:val="693E54CF"/>
    <w:rsid w:val="6A81251D"/>
    <w:rsid w:val="6B4B5D7A"/>
    <w:rsid w:val="6C767B75"/>
    <w:rsid w:val="6CAE1E74"/>
    <w:rsid w:val="6DC144B3"/>
    <w:rsid w:val="6E532A62"/>
    <w:rsid w:val="6ECE1671"/>
    <w:rsid w:val="6F3941F6"/>
    <w:rsid w:val="701F03D6"/>
    <w:rsid w:val="70B54896"/>
    <w:rsid w:val="70DE4F97"/>
    <w:rsid w:val="71253A2D"/>
    <w:rsid w:val="714754F4"/>
    <w:rsid w:val="71DE7E1D"/>
    <w:rsid w:val="71FA4E71"/>
    <w:rsid w:val="72047104"/>
    <w:rsid w:val="7225304D"/>
    <w:rsid w:val="73D3273B"/>
    <w:rsid w:val="757E3072"/>
    <w:rsid w:val="7583021F"/>
    <w:rsid w:val="7665548C"/>
    <w:rsid w:val="77FD416C"/>
    <w:rsid w:val="78050822"/>
    <w:rsid w:val="79552B2F"/>
    <w:rsid w:val="7A9B2D4F"/>
    <w:rsid w:val="7B662EF2"/>
    <w:rsid w:val="7B80088B"/>
    <w:rsid w:val="7C3B1E29"/>
    <w:rsid w:val="7C544109"/>
    <w:rsid w:val="7D481CE9"/>
    <w:rsid w:val="7E9A1208"/>
    <w:rsid w:val="7F4552EB"/>
    <w:rsid w:val="7F79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after="100"/>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adjustRightInd w:val="0"/>
      <w:spacing w:line="400" w:lineRule="exact"/>
      <w:ind w:left="0" w:firstLine="0"/>
      <w:jc w:val="left"/>
      <w:outlineLvl w:val="1"/>
    </w:pPr>
    <w:rPr>
      <w:b/>
    </w:rPr>
  </w:style>
  <w:style w:type="paragraph" w:styleId="4">
    <w:name w:val="heading 3"/>
    <w:basedOn w:val="1"/>
    <w:next w:val="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tabs>
        <w:tab w:val="left" w:pos="567"/>
      </w:tabs>
      <w:spacing w:before="120" w:line="22" w:lineRule="atLeast"/>
    </w:pPr>
    <w:rPr>
      <w:rFonts w:ascii="宋体" w:hAnsi="宋体"/>
      <w:sz w:val="24"/>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qFormat/>
    <w:uiPriority w:val="0"/>
    <w:pPr>
      <w:snapToGrid w:val="0"/>
    </w:pPr>
    <w:rPr>
      <w:rFonts w:ascii="Arial" w:hAnsi="Arial" w:cs="Arial"/>
    </w:rPr>
  </w:style>
  <w:style w:type="paragraph" w:styleId="8">
    <w:name w:val="Plain Text"/>
    <w:basedOn w:val="1"/>
    <w:autoRedefine/>
    <w:qFormat/>
    <w:uiPriority w:val="0"/>
    <w:rPr>
      <w:rFonts w:ascii="宋体" w:hAnsi="Courier New"/>
      <w:kern w:val="0"/>
      <w:sz w:val="20"/>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widowControl/>
      <w:jc w:val="left"/>
    </w:pPr>
    <w:rPr>
      <w:rFonts w:ascii="宋体" w:hAnsi="宋体" w:cs="宋体"/>
      <w:kern w:val="0"/>
      <w:sz w:val="24"/>
    </w:rPr>
  </w:style>
  <w:style w:type="paragraph" w:styleId="12">
    <w:name w:val="Body Text First Indent"/>
    <w:basedOn w:val="5"/>
    <w:qFormat/>
    <w:uiPriority w:val="0"/>
    <w:pPr>
      <w:spacing w:before="0" w:after="120"/>
      <w:ind w:firstLine="420" w:firstLineChars="100"/>
    </w:pPr>
    <w:rPr>
      <w:rFonts w:ascii="Times New Roman" w:hAnsi="Times New Roman"/>
    </w:rPr>
  </w:style>
  <w:style w:type="paragraph" w:styleId="13">
    <w:name w:val="Body Text First Indent 2"/>
    <w:basedOn w:val="6"/>
    <w:autoRedefine/>
    <w:qFormat/>
    <w:uiPriority w:val="0"/>
    <w:pPr>
      <w:ind w:firstLine="420" w:firstLineChars="200"/>
    </w:pPr>
    <w:rPr>
      <w:kern w:val="0"/>
      <w:sz w:val="22"/>
    </w:rPr>
  </w:style>
  <w:style w:type="character" w:styleId="16">
    <w:name w:val="Strong"/>
    <w:basedOn w:val="15"/>
    <w:qFormat/>
    <w:uiPriority w:val="0"/>
    <w:rPr>
      <w:b/>
    </w:rPr>
  </w:style>
  <w:style w:type="paragraph" w:customStyle="1" w:styleId="17">
    <w:name w:val="模板普通正文"/>
    <w:basedOn w:val="6"/>
    <w:autoRedefine/>
    <w:qFormat/>
    <w:uiPriority w:val="0"/>
    <w:pPr>
      <w:spacing w:beforeLines="50" w:after="10"/>
      <w:ind w:firstLine="490" w:firstLineChars="175"/>
      <w:jc w:val="left"/>
    </w:pPr>
  </w:style>
  <w:style w:type="paragraph" w:customStyle="1" w:styleId="18">
    <w:name w:val="DAS正文"/>
    <w:basedOn w:val="1"/>
    <w:autoRedefine/>
    <w:qFormat/>
    <w:uiPriority w:val="0"/>
    <w:pPr>
      <w:spacing w:line="360" w:lineRule="auto"/>
      <w:ind w:right="181" w:firstLine="480" w:firstLineChars="200"/>
    </w:pPr>
    <w:rPr>
      <w:rFonts w:ascii="Verdana" w:hAnsi="Verdana"/>
      <w:sz w:val="24"/>
    </w:rPr>
  </w:style>
  <w:style w:type="character" w:customStyle="1" w:styleId="19">
    <w:name w:val="font81"/>
    <w:basedOn w:val="15"/>
    <w:autoRedefine/>
    <w:qFormat/>
    <w:uiPriority w:val="0"/>
    <w:rPr>
      <w:rFonts w:hint="eastAsia" w:ascii="宋体" w:hAnsi="宋体" w:eastAsia="宋体" w:cs="宋体"/>
      <w:b/>
      <w:bCs/>
      <w:color w:val="000000"/>
      <w:sz w:val="22"/>
      <w:szCs w:val="22"/>
      <w:u w:val="none"/>
    </w:rPr>
  </w:style>
  <w:style w:type="character" w:customStyle="1" w:styleId="20">
    <w:name w:val="font91"/>
    <w:basedOn w:val="15"/>
    <w:autoRedefine/>
    <w:qFormat/>
    <w:uiPriority w:val="0"/>
    <w:rPr>
      <w:rFonts w:hint="eastAsia" w:ascii="宋体" w:hAnsi="宋体" w:eastAsia="宋体" w:cs="宋体"/>
      <w:color w:val="000000"/>
      <w:sz w:val="22"/>
      <w:szCs w:val="22"/>
      <w:u w:val="none"/>
    </w:rPr>
  </w:style>
  <w:style w:type="character" w:customStyle="1" w:styleId="21">
    <w:name w:val="font31"/>
    <w:basedOn w:val="15"/>
    <w:autoRedefine/>
    <w:qFormat/>
    <w:uiPriority w:val="0"/>
    <w:rPr>
      <w:rFonts w:hint="default" w:ascii="Times New Roman" w:hAnsi="Times New Roman" w:cs="Times New Roman"/>
      <w:color w:val="000000"/>
      <w:sz w:val="22"/>
      <w:szCs w:val="22"/>
      <w:u w:val="none"/>
    </w:rPr>
  </w:style>
  <w:style w:type="paragraph" w:customStyle="1" w:styleId="22">
    <w:name w:val="null3"/>
    <w:hidden/>
    <w:qFormat/>
    <w:uiPriority w:val="0"/>
    <w:rPr>
      <w:rFonts w:hint="eastAsia" w:asciiTheme="minorHAnsi" w:hAnsiTheme="minorHAnsi" w:eastAsiaTheme="minorEastAsia" w:cstheme="minorBidi"/>
      <w:lang w:val="en-US" w:eastAsia="zh-Hans" w:bidi="ar-SA"/>
    </w:rPr>
  </w:style>
  <w:style w:type="paragraph" w:styleId="23">
    <w:name w:val="List Paragraph"/>
    <w:basedOn w:val="1"/>
    <w:qFormat/>
    <w:uiPriority w:val="34"/>
    <w:pPr>
      <w:ind w:firstLine="420" w:firstLineChars="200"/>
    </w:pPr>
  </w:style>
  <w:style w:type="paragraph" w:customStyle="1" w:styleId="24">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2136</Words>
  <Characters>2203</Characters>
  <Lines>546</Lines>
  <Paragraphs>498</Paragraphs>
  <TotalTime>2</TotalTime>
  <ScaleCrop>false</ScaleCrop>
  <LinksUpToDate>false</LinksUpToDate>
  <CharactersWithSpaces>2305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2022-07-20T02:03:00Z</dcterms:created>
  <dc:creator>Administrator</dc:creator>
  <cp:lastModifiedBy>Administrator</cp:lastModifiedBy>
  <cp:lastPrinted>2024-05-14T07:53:00Z</cp:lastPrinted>
  <dcterms:modified xsi:type="dcterms:W3CDTF">2025-08-15T03:13:58Z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272EF6FE0B3A4506A2AA4E3A07B5088F_13</vt:lpwstr>
  </property>
  <property fmtid="{D5CDD505-2E9C-101B-9397-08002B2CF9AE}" pid="4" name="KSOTemplateDocerSaveRecord">
    <vt:lpwstr>eyJoZGlkIjoiMWU0MTkwODg4ODQwM2YxYTVlYTM5MTZhOTIzNTI1Y2QiLCJ1c2VySWQiOiIxNDY2MDgwODYxIn0=</vt:lpwstr>
  </property>
</Properties>
</file>