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A5A8E2">
      <w:pPr>
        <w:pStyle w:val="3"/>
        <w:spacing w:line="800" w:lineRule="exact"/>
        <w:ind w:firstLine="1084" w:firstLineChars="300"/>
        <w:rPr>
          <w:rFonts w:ascii="华文中宋" w:hAnsi="华文中宋" w:eastAsia="华文中宋" w:cs="华文中宋"/>
          <w:b/>
          <w:bCs/>
          <w:color w:val="000000"/>
          <w:kern w:val="0"/>
          <w:sz w:val="36"/>
          <w:szCs w:val="36"/>
        </w:rPr>
      </w:pPr>
      <w:r>
        <w:rPr>
          <w:rFonts w:hint="eastAsia" w:ascii="华文中宋" w:hAnsi="华文中宋" w:eastAsia="华文中宋" w:cs="华文中宋"/>
          <w:b/>
          <w:bCs/>
          <w:color w:val="000000"/>
          <w:kern w:val="0"/>
          <w:sz w:val="36"/>
          <w:szCs w:val="36"/>
        </w:rPr>
        <w:t>桐城市高桥城消防改外墙真石漆专业分包</w:t>
      </w:r>
    </w:p>
    <w:p w14:paraId="68EF85A9">
      <w:pPr>
        <w:pStyle w:val="3"/>
        <w:spacing w:line="800" w:lineRule="exact"/>
        <w:ind w:firstLine="2168" w:firstLineChars="600"/>
        <w:rPr>
          <w:rFonts w:ascii="华文中宋" w:hAnsi="华文中宋" w:eastAsia="华文中宋" w:cs="华文中宋"/>
          <w:b/>
          <w:bCs/>
          <w:color w:val="000000"/>
          <w:kern w:val="0"/>
          <w:sz w:val="36"/>
          <w:szCs w:val="36"/>
        </w:rPr>
      </w:pPr>
      <w:r>
        <w:rPr>
          <w:rFonts w:hint="eastAsia" w:ascii="华文中宋" w:hAnsi="华文中宋" w:eastAsia="华文中宋" w:cs="华文中宋"/>
          <w:b/>
          <w:bCs/>
          <w:color w:val="000000"/>
          <w:kern w:val="0"/>
          <w:sz w:val="36"/>
          <w:szCs w:val="36"/>
          <w:lang w:val="en-US" w:eastAsia="zh-CN"/>
        </w:rPr>
        <w:t>(</w:t>
      </w:r>
      <w:r>
        <w:rPr>
          <w:rFonts w:hint="eastAsia" w:ascii="华文中宋" w:hAnsi="华文中宋" w:eastAsia="华文中宋" w:cs="华文中宋"/>
          <w:b/>
          <w:bCs/>
          <w:color w:val="000000"/>
          <w:kern w:val="0"/>
          <w:sz w:val="36"/>
          <w:szCs w:val="36"/>
        </w:rPr>
        <w:t>工程招标编号：JKQJT-20240</w:t>
      </w:r>
      <w:r>
        <w:rPr>
          <w:rFonts w:hint="eastAsia" w:ascii="华文中宋" w:hAnsi="华文中宋" w:eastAsia="华文中宋" w:cs="华文中宋"/>
          <w:b/>
          <w:bCs/>
          <w:color w:val="000000"/>
          <w:kern w:val="0"/>
          <w:sz w:val="36"/>
          <w:szCs w:val="36"/>
          <w:lang w:val="en-US" w:eastAsia="zh-CN"/>
        </w:rPr>
        <w:t>71</w:t>
      </w:r>
      <w:r>
        <w:rPr>
          <w:rFonts w:hint="eastAsia" w:ascii="华文中宋" w:hAnsi="华文中宋" w:eastAsia="华文中宋" w:cs="华文中宋"/>
          <w:b/>
          <w:bCs/>
          <w:color w:val="000000"/>
          <w:kern w:val="0"/>
          <w:sz w:val="36"/>
          <w:szCs w:val="36"/>
        </w:rPr>
        <w:t>）</w:t>
      </w:r>
    </w:p>
    <w:p w14:paraId="2EF7D7CF">
      <w:pPr>
        <w:pStyle w:val="3"/>
        <w:spacing w:line="800" w:lineRule="exact"/>
        <w:ind w:firstLine="3979" w:firstLineChars="1101"/>
        <w:rPr>
          <w:rFonts w:ascii="华文中宋" w:hAnsi="华文中宋" w:eastAsia="华文中宋" w:cs="华文中宋"/>
          <w:b/>
          <w:bCs/>
          <w:color w:val="000000"/>
          <w:kern w:val="0"/>
          <w:sz w:val="36"/>
          <w:szCs w:val="36"/>
        </w:rPr>
      </w:pPr>
    </w:p>
    <w:p w14:paraId="431E450F">
      <w:pPr>
        <w:pStyle w:val="3"/>
        <w:spacing w:line="800" w:lineRule="exact"/>
        <w:ind w:firstLine="3979" w:firstLineChars="1101"/>
        <w:rPr>
          <w:rFonts w:ascii="华文中宋" w:hAnsi="华文中宋" w:eastAsia="华文中宋" w:cs="华文中宋"/>
          <w:b/>
          <w:bCs/>
          <w:color w:val="000000"/>
          <w:kern w:val="0"/>
          <w:sz w:val="36"/>
          <w:szCs w:val="36"/>
        </w:rPr>
      </w:pPr>
    </w:p>
    <w:p w14:paraId="421A6FC6">
      <w:pPr>
        <w:pStyle w:val="3"/>
        <w:spacing w:line="800" w:lineRule="exact"/>
        <w:ind w:firstLine="4337" w:firstLineChars="600"/>
        <w:rPr>
          <w:rFonts w:ascii="华文中宋" w:hAnsi="华文中宋" w:eastAsia="华文中宋" w:cs="华文中宋"/>
          <w:b/>
          <w:bCs/>
          <w:color w:val="000000"/>
          <w:kern w:val="0"/>
          <w:sz w:val="72"/>
          <w:szCs w:val="72"/>
        </w:rPr>
      </w:pPr>
      <w:r>
        <w:rPr>
          <w:rFonts w:hint="eastAsia" w:ascii="华文中宋" w:hAnsi="华文中宋" w:eastAsia="华文中宋" w:cs="华文中宋"/>
          <w:b/>
          <w:bCs/>
          <w:color w:val="000000"/>
          <w:kern w:val="0"/>
          <w:sz w:val="72"/>
          <w:szCs w:val="72"/>
        </w:rPr>
        <w:t>招</w:t>
      </w:r>
    </w:p>
    <w:p w14:paraId="3B6C3F40">
      <w:pPr>
        <w:pStyle w:val="3"/>
        <w:spacing w:line="800" w:lineRule="exact"/>
        <w:ind w:firstLine="4337" w:firstLineChars="600"/>
        <w:rPr>
          <w:rFonts w:ascii="华文中宋" w:hAnsi="华文中宋" w:eastAsia="华文中宋" w:cs="华文中宋"/>
          <w:b/>
          <w:bCs/>
          <w:color w:val="000000"/>
          <w:kern w:val="0"/>
          <w:sz w:val="72"/>
          <w:szCs w:val="72"/>
        </w:rPr>
      </w:pPr>
    </w:p>
    <w:p w14:paraId="3939C02E">
      <w:pPr>
        <w:pStyle w:val="3"/>
        <w:spacing w:line="800" w:lineRule="exact"/>
        <w:ind w:firstLine="4337" w:firstLineChars="600"/>
        <w:rPr>
          <w:rFonts w:ascii="华文中宋" w:hAnsi="华文中宋" w:eastAsia="华文中宋" w:cs="华文中宋"/>
          <w:b/>
          <w:bCs/>
          <w:color w:val="000000"/>
          <w:kern w:val="0"/>
          <w:sz w:val="72"/>
          <w:szCs w:val="72"/>
        </w:rPr>
      </w:pPr>
    </w:p>
    <w:p w14:paraId="7A90A964">
      <w:pPr>
        <w:pStyle w:val="3"/>
        <w:spacing w:line="800" w:lineRule="exact"/>
        <w:ind w:firstLine="4337" w:firstLineChars="600"/>
        <w:rPr>
          <w:rFonts w:ascii="华文中宋" w:hAnsi="华文中宋" w:eastAsia="华文中宋" w:cs="华文中宋"/>
          <w:b/>
          <w:bCs/>
          <w:color w:val="000000"/>
          <w:kern w:val="0"/>
          <w:sz w:val="72"/>
          <w:szCs w:val="72"/>
        </w:rPr>
      </w:pPr>
      <w:r>
        <w:rPr>
          <w:rFonts w:hint="eastAsia" w:ascii="华文中宋" w:hAnsi="华文中宋" w:eastAsia="华文中宋" w:cs="华文中宋"/>
          <w:b/>
          <w:bCs/>
          <w:color w:val="000000"/>
          <w:kern w:val="0"/>
          <w:sz w:val="72"/>
          <w:szCs w:val="72"/>
        </w:rPr>
        <w:t>标</w:t>
      </w:r>
    </w:p>
    <w:p w14:paraId="6F3EABA7">
      <w:pPr>
        <w:pStyle w:val="3"/>
        <w:spacing w:line="800" w:lineRule="exact"/>
        <w:ind w:firstLine="4337" w:firstLineChars="600"/>
        <w:rPr>
          <w:rFonts w:ascii="华文中宋" w:hAnsi="华文中宋" w:eastAsia="华文中宋" w:cs="华文中宋"/>
          <w:b/>
          <w:bCs/>
          <w:color w:val="000000"/>
          <w:kern w:val="0"/>
          <w:sz w:val="72"/>
          <w:szCs w:val="72"/>
        </w:rPr>
      </w:pPr>
    </w:p>
    <w:p w14:paraId="01419B12">
      <w:pPr>
        <w:pStyle w:val="3"/>
        <w:spacing w:line="800" w:lineRule="exact"/>
        <w:ind w:firstLine="4337" w:firstLineChars="600"/>
        <w:rPr>
          <w:rFonts w:ascii="华文中宋" w:hAnsi="华文中宋" w:eastAsia="华文中宋" w:cs="华文中宋"/>
          <w:b/>
          <w:bCs/>
          <w:color w:val="000000"/>
          <w:kern w:val="0"/>
          <w:sz w:val="72"/>
          <w:szCs w:val="72"/>
        </w:rPr>
      </w:pPr>
    </w:p>
    <w:p w14:paraId="1F9C08E4">
      <w:pPr>
        <w:pStyle w:val="3"/>
        <w:spacing w:line="800" w:lineRule="exact"/>
        <w:ind w:firstLine="4337" w:firstLineChars="600"/>
        <w:rPr>
          <w:rFonts w:ascii="华文中宋" w:hAnsi="华文中宋" w:eastAsia="华文中宋" w:cs="华文中宋"/>
          <w:b/>
          <w:bCs/>
          <w:color w:val="000000"/>
          <w:kern w:val="0"/>
          <w:sz w:val="72"/>
          <w:szCs w:val="72"/>
        </w:rPr>
      </w:pPr>
      <w:r>
        <w:rPr>
          <w:rFonts w:hint="eastAsia" w:ascii="华文中宋" w:hAnsi="华文中宋" w:eastAsia="华文中宋" w:cs="华文中宋"/>
          <w:b/>
          <w:bCs/>
          <w:color w:val="000000"/>
          <w:kern w:val="0"/>
          <w:sz w:val="72"/>
          <w:szCs w:val="72"/>
        </w:rPr>
        <w:t>书</w:t>
      </w:r>
    </w:p>
    <w:p w14:paraId="1C8F1CE4">
      <w:pPr>
        <w:pStyle w:val="3"/>
        <w:rPr>
          <w:sz w:val="72"/>
          <w:szCs w:val="72"/>
        </w:rPr>
      </w:pPr>
    </w:p>
    <w:p w14:paraId="05DB9987">
      <w:pPr>
        <w:widowControl/>
        <w:spacing w:line="675" w:lineRule="atLeast"/>
        <w:jc w:val="center"/>
        <w:rPr>
          <w:rFonts w:ascii="微软雅黑" w:hAnsi="微软雅黑" w:eastAsia="微软雅黑" w:cs="宋体"/>
          <w:b/>
          <w:bCs/>
          <w:color w:val="000000"/>
          <w:spacing w:val="45"/>
          <w:kern w:val="0"/>
          <w:sz w:val="36"/>
          <w:szCs w:val="36"/>
        </w:rPr>
      </w:pPr>
    </w:p>
    <w:tbl>
      <w:tblPr>
        <w:tblStyle w:val="25"/>
        <w:tblW w:w="8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6"/>
        <w:gridCol w:w="5959"/>
      </w:tblGrid>
      <w:tr w14:paraId="27B89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2BE6BD48">
            <w:pPr>
              <w:spacing w:before="156" w:beforeLines="50" w:after="156" w:afterLines="50" w:line="500" w:lineRule="exact"/>
              <w:jc w:val="distribute"/>
              <w:rPr>
                <w:rFonts w:ascii="宋体" w:hAnsi="宋体"/>
                <w:bCs/>
                <w:kern w:val="0"/>
                <w:sz w:val="32"/>
                <w:szCs w:val="32"/>
              </w:rPr>
            </w:pPr>
            <w:r>
              <w:rPr>
                <w:rFonts w:hint="eastAsia" w:ascii="宋体" w:hAnsi="宋体"/>
                <w:bCs/>
                <w:kern w:val="0"/>
                <w:sz w:val="32"/>
                <w:szCs w:val="32"/>
              </w:rPr>
              <w:t>招标单位</w:t>
            </w:r>
          </w:p>
        </w:tc>
        <w:tc>
          <w:tcPr>
            <w:tcW w:w="5962" w:type="dxa"/>
            <w:tcBorders>
              <w:top w:val="single" w:color="auto" w:sz="4" w:space="0"/>
              <w:left w:val="single" w:color="auto" w:sz="4" w:space="0"/>
              <w:bottom w:val="single" w:color="auto" w:sz="4" w:space="0"/>
              <w:right w:val="single" w:color="auto" w:sz="4" w:space="0"/>
            </w:tcBorders>
            <w:noWrap/>
            <w:vAlign w:val="center"/>
          </w:tcPr>
          <w:p w14:paraId="5C8629B8">
            <w:pPr>
              <w:spacing w:before="156" w:beforeLines="50" w:after="156" w:afterLines="50" w:line="500" w:lineRule="exact"/>
              <w:jc w:val="center"/>
              <w:rPr>
                <w:rFonts w:ascii="宋体" w:hAnsi="宋体"/>
                <w:bCs/>
                <w:kern w:val="0"/>
                <w:sz w:val="32"/>
                <w:szCs w:val="32"/>
              </w:rPr>
            </w:pPr>
            <w:r>
              <w:rPr>
                <w:rFonts w:hint="eastAsia" w:ascii="宋体" w:hAnsi="宋体"/>
                <w:bCs/>
                <w:kern w:val="0"/>
                <w:sz w:val="32"/>
                <w:szCs w:val="32"/>
              </w:rPr>
              <w:t>桐城市天正控股集团有限公司</w:t>
            </w:r>
          </w:p>
        </w:tc>
      </w:tr>
      <w:tr w14:paraId="09054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43908CBD">
            <w:pPr>
              <w:spacing w:before="156" w:beforeLines="50" w:after="156" w:afterLines="50" w:line="500" w:lineRule="exact"/>
              <w:jc w:val="distribute"/>
              <w:rPr>
                <w:rFonts w:ascii="宋体" w:hAnsi="宋体"/>
                <w:bCs/>
                <w:kern w:val="0"/>
                <w:sz w:val="32"/>
                <w:szCs w:val="32"/>
              </w:rPr>
            </w:pPr>
            <w:r>
              <w:rPr>
                <w:rFonts w:hint="eastAsia" w:ascii="宋体" w:hAnsi="宋体"/>
                <w:bCs/>
                <w:kern w:val="0"/>
                <w:sz w:val="32"/>
                <w:szCs w:val="32"/>
              </w:rPr>
              <w:t>招标组织部门</w:t>
            </w:r>
          </w:p>
        </w:tc>
        <w:tc>
          <w:tcPr>
            <w:tcW w:w="5962" w:type="dxa"/>
            <w:tcBorders>
              <w:top w:val="single" w:color="auto" w:sz="4" w:space="0"/>
              <w:left w:val="single" w:color="auto" w:sz="4" w:space="0"/>
              <w:bottom w:val="single" w:color="auto" w:sz="4" w:space="0"/>
              <w:right w:val="single" w:color="auto" w:sz="4" w:space="0"/>
            </w:tcBorders>
            <w:noWrap/>
            <w:vAlign w:val="center"/>
          </w:tcPr>
          <w:p w14:paraId="37F5D4C9">
            <w:pPr>
              <w:spacing w:before="156" w:beforeLines="50" w:after="156" w:afterLines="50" w:line="500" w:lineRule="exact"/>
              <w:jc w:val="center"/>
              <w:rPr>
                <w:rFonts w:ascii="宋体" w:hAnsi="宋体"/>
                <w:bCs/>
                <w:kern w:val="0"/>
                <w:sz w:val="32"/>
                <w:szCs w:val="32"/>
              </w:rPr>
            </w:pPr>
            <w:r>
              <w:rPr>
                <w:rFonts w:hint="eastAsia" w:ascii="宋体" w:hAnsi="宋体"/>
                <w:bCs/>
                <w:kern w:val="0"/>
                <w:sz w:val="32"/>
                <w:szCs w:val="32"/>
              </w:rPr>
              <w:t>桐城经开区建设投资集团招投标办公室</w:t>
            </w:r>
          </w:p>
        </w:tc>
      </w:tr>
      <w:tr w14:paraId="58192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07D241DC">
            <w:pPr>
              <w:spacing w:before="156" w:beforeLines="50" w:after="156" w:afterLines="50" w:line="500" w:lineRule="exact"/>
              <w:jc w:val="distribute"/>
              <w:rPr>
                <w:rFonts w:ascii="宋体" w:hAnsi="宋体"/>
                <w:bCs/>
                <w:kern w:val="0"/>
                <w:sz w:val="32"/>
                <w:szCs w:val="32"/>
              </w:rPr>
            </w:pPr>
            <w:r>
              <w:rPr>
                <w:rFonts w:hint="eastAsia" w:ascii="宋体" w:hAnsi="宋体"/>
                <w:bCs/>
                <w:kern w:val="0"/>
                <w:sz w:val="32"/>
                <w:szCs w:val="32"/>
              </w:rPr>
              <w:t>日  期</w:t>
            </w:r>
          </w:p>
        </w:tc>
        <w:tc>
          <w:tcPr>
            <w:tcW w:w="5962" w:type="dxa"/>
            <w:tcBorders>
              <w:top w:val="single" w:color="auto" w:sz="4" w:space="0"/>
              <w:left w:val="single" w:color="auto" w:sz="4" w:space="0"/>
              <w:bottom w:val="single" w:color="auto" w:sz="4" w:space="0"/>
              <w:right w:val="single" w:color="auto" w:sz="4" w:space="0"/>
            </w:tcBorders>
            <w:noWrap/>
            <w:vAlign w:val="center"/>
          </w:tcPr>
          <w:p w14:paraId="138DF275">
            <w:pPr>
              <w:spacing w:before="156" w:beforeLines="50" w:after="156" w:afterLines="50" w:line="500" w:lineRule="exact"/>
              <w:jc w:val="center"/>
              <w:rPr>
                <w:rFonts w:ascii="宋体" w:hAnsi="宋体"/>
                <w:bCs/>
                <w:kern w:val="0"/>
                <w:sz w:val="32"/>
                <w:szCs w:val="32"/>
              </w:rPr>
            </w:pPr>
            <w:r>
              <w:rPr>
                <w:rFonts w:hint="eastAsia" w:ascii="宋体" w:hAnsi="宋体"/>
                <w:bCs/>
                <w:kern w:val="0"/>
                <w:sz w:val="32"/>
                <w:szCs w:val="32"/>
              </w:rPr>
              <w:t>2024年</w:t>
            </w:r>
            <w:r>
              <w:rPr>
                <w:rFonts w:hint="eastAsia" w:ascii="宋体" w:hAnsi="宋体"/>
                <w:bCs/>
                <w:kern w:val="0"/>
                <w:sz w:val="32"/>
                <w:szCs w:val="32"/>
                <w:lang w:val="en-US" w:eastAsia="zh-CN"/>
              </w:rPr>
              <w:t>11</w:t>
            </w:r>
            <w:r>
              <w:rPr>
                <w:rFonts w:hint="eastAsia" w:ascii="宋体" w:hAnsi="宋体"/>
                <w:bCs/>
                <w:kern w:val="0"/>
                <w:sz w:val="32"/>
                <w:szCs w:val="32"/>
              </w:rPr>
              <w:t>月</w:t>
            </w:r>
            <w:r>
              <w:rPr>
                <w:rFonts w:hint="eastAsia" w:ascii="宋体" w:hAnsi="宋体"/>
                <w:bCs/>
                <w:kern w:val="0"/>
                <w:sz w:val="32"/>
                <w:szCs w:val="32"/>
                <w:lang w:val="en-US" w:eastAsia="zh-CN"/>
              </w:rPr>
              <w:t>15</w:t>
            </w:r>
            <w:r>
              <w:rPr>
                <w:rFonts w:hint="eastAsia" w:ascii="宋体" w:hAnsi="宋体"/>
                <w:bCs/>
                <w:kern w:val="0"/>
                <w:sz w:val="32"/>
                <w:szCs w:val="32"/>
              </w:rPr>
              <w:t>日</w:t>
            </w:r>
          </w:p>
        </w:tc>
      </w:tr>
    </w:tbl>
    <w:p w14:paraId="69039C79">
      <w:pPr>
        <w:spacing w:line="480" w:lineRule="exact"/>
        <w:rPr>
          <w:rFonts w:ascii="黑体" w:hAnsi="黑体" w:eastAsia="黑体"/>
          <w:sz w:val="44"/>
          <w:szCs w:val="44"/>
        </w:rPr>
      </w:pPr>
    </w:p>
    <w:p w14:paraId="2CDD344B">
      <w:pPr>
        <w:spacing w:line="580" w:lineRule="exact"/>
        <w:ind w:firstLine="1767" w:firstLineChars="400"/>
        <w:jc w:val="both"/>
        <w:rPr>
          <w:rFonts w:ascii="华文中宋" w:hAnsi="华文中宋" w:eastAsia="华文中宋" w:cs="华文中宋"/>
          <w:b/>
          <w:color w:val="000000"/>
          <w:sz w:val="44"/>
          <w:szCs w:val="44"/>
        </w:rPr>
      </w:pPr>
      <w:r>
        <w:rPr>
          <w:rFonts w:hint="eastAsia" w:ascii="华文中宋" w:hAnsi="华文中宋" w:eastAsia="华文中宋" w:cs="华文中宋"/>
          <w:b/>
          <w:color w:val="000000"/>
          <w:sz w:val="44"/>
          <w:szCs w:val="44"/>
        </w:rPr>
        <w:t>一、招标须知前附表</w:t>
      </w:r>
    </w:p>
    <w:p w14:paraId="428F2EB6">
      <w:pPr>
        <w:pStyle w:val="24"/>
        <w:spacing w:line="580" w:lineRule="exact"/>
        <w:ind w:left="900" w:firstLine="0" w:firstLineChars="0"/>
        <w:rPr>
          <w:rFonts w:ascii="华文中宋" w:hAnsi="华文中宋" w:eastAsia="华文中宋" w:cs="华文中宋"/>
          <w:b/>
          <w:color w:val="000000"/>
          <w:sz w:val="44"/>
          <w:szCs w:val="44"/>
        </w:rPr>
      </w:pPr>
    </w:p>
    <w:tbl>
      <w:tblPr>
        <w:tblStyle w:val="13"/>
        <w:tblW w:w="89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727"/>
        <w:gridCol w:w="6496"/>
      </w:tblGrid>
      <w:tr w14:paraId="3E352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773" w:type="dxa"/>
            <w:noWrap/>
            <w:vAlign w:val="center"/>
          </w:tcPr>
          <w:p w14:paraId="40993E6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序号</w:t>
            </w:r>
          </w:p>
        </w:tc>
        <w:tc>
          <w:tcPr>
            <w:tcW w:w="1727" w:type="dxa"/>
            <w:noWrap/>
            <w:vAlign w:val="center"/>
          </w:tcPr>
          <w:p w14:paraId="7CFB3FD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内容</w:t>
            </w:r>
          </w:p>
        </w:tc>
        <w:tc>
          <w:tcPr>
            <w:tcW w:w="6496" w:type="dxa"/>
            <w:noWrap/>
            <w:vAlign w:val="center"/>
          </w:tcPr>
          <w:p w14:paraId="3BED39E5">
            <w:pPr>
              <w:spacing w:line="50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说明与要求</w:t>
            </w:r>
          </w:p>
        </w:tc>
      </w:tr>
      <w:tr w14:paraId="65961F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773" w:type="dxa"/>
            <w:noWrap/>
            <w:vAlign w:val="center"/>
          </w:tcPr>
          <w:p w14:paraId="57C4911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p>
        </w:tc>
        <w:tc>
          <w:tcPr>
            <w:tcW w:w="1727" w:type="dxa"/>
            <w:noWrap/>
            <w:vAlign w:val="center"/>
          </w:tcPr>
          <w:p w14:paraId="682073E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工程名称</w:t>
            </w:r>
          </w:p>
        </w:tc>
        <w:tc>
          <w:tcPr>
            <w:tcW w:w="6496" w:type="dxa"/>
            <w:noWrap/>
            <w:vAlign w:val="center"/>
          </w:tcPr>
          <w:p w14:paraId="66B9D7E9">
            <w:pPr>
              <w:spacing w:line="500" w:lineRule="exact"/>
              <w:ind w:firstLine="360" w:firstLineChars="1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桐城市高桥城消防改造外墙真石漆</w:t>
            </w:r>
          </w:p>
        </w:tc>
      </w:tr>
      <w:tr w14:paraId="5DFC5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noWrap/>
            <w:vAlign w:val="center"/>
          </w:tcPr>
          <w:p w14:paraId="225B3CF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p>
        </w:tc>
        <w:tc>
          <w:tcPr>
            <w:tcW w:w="1727" w:type="dxa"/>
            <w:noWrap/>
            <w:vAlign w:val="center"/>
          </w:tcPr>
          <w:p w14:paraId="2423717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建设地点</w:t>
            </w:r>
          </w:p>
        </w:tc>
        <w:tc>
          <w:tcPr>
            <w:tcW w:w="6496" w:type="dxa"/>
            <w:noWrap/>
            <w:vAlign w:val="center"/>
          </w:tcPr>
          <w:p w14:paraId="228307A6">
            <w:pPr>
              <w:spacing w:line="500" w:lineRule="exact"/>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rPr>
              <w:t xml:space="preserve">   </w:t>
            </w:r>
            <w:r>
              <w:rPr>
                <w:rFonts w:asciiTheme="minorEastAsia" w:hAnsiTheme="minorEastAsia" w:cstheme="minorEastAsia"/>
                <w:color w:val="000000"/>
                <w:sz w:val="24"/>
                <w:szCs w:val="24"/>
              </w:rPr>
              <w:t>桐城</w:t>
            </w:r>
            <w:r>
              <w:rPr>
                <w:rFonts w:hint="eastAsia" w:asciiTheme="minorEastAsia" w:hAnsiTheme="minorEastAsia" w:cstheme="minorEastAsia"/>
                <w:color w:val="000000"/>
                <w:sz w:val="24"/>
                <w:szCs w:val="24"/>
              </w:rPr>
              <w:t>市高桥城</w:t>
            </w:r>
            <w:r>
              <w:rPr>
                <w:rFonts w:hint="eastAsia" w:asciiTheme="minorEastAsia" w:hAnsiTheme="minorEastAsia" w:cstheme="minorEastAsia"/>
                <w:color w:val="000000"/>
                <w:sz w:val="24"/>
                <w:szCs w:val="24"/>
                <w:lang w:val="en-US" w:eastAsia="zh-CN"/>
              </w:rPr>
              <w:t>小区</w:t>
            </w:r>
          </w:p>
        </w:tc>
      </w:tr>
      <w:tr w14:paraId="4428A6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9" w:hRule="atLeast"/>
          <w:jc w:val="center"/>
        </w:trPr>
        <w:tc>
          <w:tcPr>
            <w:tcW w:w="773" w:type="dxa"/>
            <w:noWrap/>
            <w:vAlign w:val="center"/>
          </w:tcPr>
          <w:p w14:paraId="4C8541A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p>
        </w:tc>
        <w:tc>
          <w:tcPr>
            <w:tcW w:w="1727" w:type="dxa"/>
            <w:noWrap/>
            <w:vAlign w:val="center"/>
          </w:tcPr>
          <w:p w14:paraId="2183985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承包方式</w:t>
            </w:r>
          </w:p>
        </w:tc>
        <w:tc>
          <w:tcPr>
            <w:tcW w:w="6496" w:type="dxa"/>
            <w:noWrap/>
            <w:vAlign w:val="center"/>
          </w:tcPr>
          <w:p w14:paraId="079C0E93">
            <w:pPr>
              <w:spacing w:line="500" w:lineRule="exact"/>
              <w:ind w:firstLine="240" w:firstLineChars="1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专业分包</w:t>
            </w:r>
          </w:p>
        </w:tc>
      </w:tr>
      <w:tr w14:paraId="61D84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773" w:type="dxa"/>
            <w:noWrap/>
            <w:vAlign w:val="center"/>
          </w:tcPr>
          <w:p w14:paraId="4BF5907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w:t>
            </w:r>
          </w:p>
        </w:tc>
        <w:tc>
          <w:tcPr>
            <w:tcW w:w="1727" w:type="dxa"/>
            <w:noWrap/>
            <w:vAlign w:val="center"/>
          </w:tcPr>
          <w:p w14:paraId="5926BD7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质量标准</w:t>
            </w:r>
          </w:p>
        </w:tc>
        <w:tc>
          <w:tcPr>
            <w:tcW w:w="6496" w:type="dxa"/>
            <w:noWrap/>
            <w:vAlign w:val="center"/>
          </w:tcPr>
          <w:p w14:paraId="33F2B346">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达到相关专业验收规范的合格标准</w:t>
            </w:r>
          </w:p>
        </w:tc>
      </w:tr>
      <w:tr w14:paraId="2BB509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73" w:type="dxa"/>
            <w:noWrap/>
            <w:vAlign w:val="center"/>
          </w:tcPr>
          <w:p w14:paraId="1183327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p>
        </w:tc>
        <w:tc>
          <w:tcPr>
            <w:tcW w:w="1727" w:type="dxa"/>
            <w:noWrap/>
            <w:vAlign w:val="center"/>
          </w:tcPr>
          <w:p w14:paraId="31E2F88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询价范围</w:t>
            </w:r>
          </w:p>
        </w:tc>
        <w:tc>
          <w:tcPr>
            <w:tcW w:w="6496" w:type="dxa"/>
            <w:noWrap/>
            <w:vAlign w:val="center"/>
          </w:tcPr>
          <w:p w14:paraId="62AEBC15">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外墙真石漆面积约为1720平方米，（</w:t>
            </w:r>
            <w:r>
              <w:rPr>
                <w:rFonts w:hint="eastAsia" w:hAnsi="宋体" w:eastAsia="宋体" w:cs="宋体"/>
                <w:szCs w:val="28"/>
              </w:rPr>
              <w:t>1.）清理基层；（2）.填补缝隙、局部腻子、磨平 ，（3）</w:t>
            </w:r>
            <w:r>
              <w:rPr>
                <w:rFonts w:hint="eastAsia" w:asciiTheme="minorEastAsia" w:hAnsiTheme="minorEastAsia" w:cstheme="minorEastAsia"/>
                <w:color w:val="000000"/>
                <w:sz w:val="24"/>
                <w:szCs w:val="24"/>
              </w:rPr>
              <w:t>涂饰底涂料；（4）涂饰面层涂料；（5）涂饰第二遍面层涂料。</w:t>
            </w:r>
          </w:p>
        </w:tc>
      </w:tr>
      <w:tr w14:paraId="7E94D9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shd w:val="clear" w:color="auto" w:fill="auto"/>
            <w:noWrap/>
            <w:vAlign w:val="center"/>
          </w:tcPr>
          <w:p w14:paraId="7818B26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7</w:t>
            </w:r>
          </w:p>
        </w:tc>
        <w:tc>
          <w:tcPr>
            <w:tcW w:w="1727" w:type="dxa"/>
            <w:shd w:val="clear" w:color="auto" w:fill="auto"/>
            <w:noWrap/>
            <w:vAlign w:val="center"/>
          </w:tcPr>
          <w:p w14:paraId="69CAAD7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w:t>
            </w:r>
          </w:p>
        </w:tc>
        <w:tc>
          <w:tcPr>
            <w:tcW w:w="6496" w:type="dxa"/>
            <w:shd w:val="clear" w:color="auto" w:fill="FFFFFF"/>
            <w:noWrap/>
            <w:vAlign w:val="center"/>
          </w:tcPr>
          <w:p w14:paraId="715D5E5A">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工期 </w:t>
            </w:r>
            <w:r>
              <w:rPr>
                <w:rFonts w:hint="eastAsia" w:asciiTheme="minorEastAsia" w:hAnsiTheme="minorEastAsia" w:cstheme="minorEastAsia"/>
                <w:color w:val="000000"/>
                <w:sz w:val="24"/>
                <w:szCs w:val="24"/>
                <w:u w:val="thick"/>
              </w:rPr>
              <w:t xml:space="preserve"> 20   </w:t>
            </w:r>
            <w:r>
              <w:rPr>
                <w:rFonts w:hint="eastAsia" w:asciiTheme="minorEastAsia" w:hAnsiTheme="minorEastAsia" w:cstheme="minorEastAsia"/>
                <w:color w:val="000000"/>
                <w:sz w:val="24"/>
                <w:szCs w:val="24"/>
              </w:rPr>
              <w:t>天</w:t>
            </w:r>
          </w:p>
        </w:tc>
      </w:tr>
      <w:tr w14:paraId="6ADBB6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773" w:type="dxa"/>
            <w:noWrap/>
            <w:vAlign w:val="center"/>
          </w:tcPr>
          <w:p w14:paraId="1E85E63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8</w:t>
            </w:r>
          </w:p>
        </w:tc>
        <w:tc>
          <w:tcPr>
            <w:tcW w:w="1727" w:type="dxa"/>
            <w:noWrap/>
            <w:vAlign w:val="center"/>
          </w:tcPr>
          <w:p w14:paraId="6EAF44B4">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资金来源</w:t>
            </w:r>
          </w:p>
        </w:tc>
        <w:tc>
          <w:tcPr>
            <w:tcW w:w="6496" w:type="dxa"/>
            <w:noWrap/>
            <w:vAlign w:val="center"/>
          </w:tcPr>
          <w:p w14:paraId="204CC5B2">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自筹资金</w:t>
            </w:r>
          </w:p>
        </w:tc>
      </w:tr>
      <w:tr w14:paraId="58B76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773" w:type="dxa"/>
            <w:noWrap/>
            <w:vAlign w:val="center"/>
          </w:tcPr>
          <w:p w14:paraId="5A68F15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9</w:t>
            </w:r>
          </w:p>
        </w:tc>
        <w:tc>
          <w:tcPr>
            <w:tcW w:w="1727" w:type="dxa"/>
            <w:noWrap/>
            <w:vAlign w:val="center"/>
          </w:tcPr>
          <w:p w14:paraId="7344948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项目经理要求</w:t>
            </w:r>
          </w:p>
        </w:tc>
        <w:tc>
          <w:tcPr>
            <w:tcW w:w="6496" w:type="dxa"/>
            <w:noWrap/>
            <w:vAlign w:val="center"/>
          </w:tcPr>
          <w:p w14:paraId="4E6D8201">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(1)项目经理由二级及二级以上建筑工程专业注册类建造师担任；(2)具备有效的安全生产B证； (3)现场项目经理有合法的劳动关系并为其购买社会养老保险。</w:t>
            </w:r>
          </w:p>
        </w:tc>
      </w:tr>
      <w:tr w14:paraId="6DF61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8" w:hRule="atLeast"/>
          <w:jc w:val="center"/>
        </w:trPr>
        <w:tc>
          <w:tcPr>
            <w:tcW w:w="773" w:type="dxa"/>
            <w:noWrap/>
            <w:vAlign w:val="center"/>
          </w:tcPr>
          <w:p w14:paraId="7027E2C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10</w:t>
            </w:r>
          </w:p>
        </w:tc>
        <w:tc>
          <w:tcPr>
            <w:tcW w:w="1727" w:type="dxa"/>
            <w:noWrap/>
            <w:vAlign w:val="center"/>
          </w:tcPr>
          <w:p w14:paraId="1A6B554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资格审查方式</w:t>
            </w:r>
          </w:p>
        </w:tc>
        <w:tc>
          <w:tcPr>
            <w:tcW w:w="6496" w:type="dxa"/>
            <w:noWrap/>
          </w:tcPr>
          <w:p w14:paraId="596D15FF">
            <w:pPr>
              <w:spacing w:line="500" w:lineRule="exact"/>
              <w:ind w:firstLine="120" w:firstLineChars="50"/>
              <w:rPr>
                <w:rFonts w:asciiTheme="minorEastAsia" w:hAnsiTheme="minorEastAsia" w:cstheme="minorEastAsia"/>
                <w:sz w:val="24"/>
                <w:szCs w:val="24"/>
              </w:rPr>
            </w:pPr>
            <w:r>
              <w:rPr>
                <w:rFonts w:hint="eastAsia" w:asciiTheme="minorEastAsia" w:hAnsiTheme="minorEastAsia" w:cstheme="minorEastAsia"/>
                <w:sz w:val="24"/>
                <w:szCs w:val="24"/>
              </w:rPr>
              <w:t>资格先审。</w:t>
            </w:r>
          </w:p>
        </w:tc>
      </w:tr>
      <w:tr w14:paraId="5B619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5" w:hRule="atLeast"/>
          <w:jc w:val="center"/>
        </w:trPr>
        <w:tc>
          <w:tcPr>
            <w:tcW w:w="773" w:type="dxa"/>
            <w:noWrap/>
            <w:vAlign w:val="center"/>
          </w:tcPr>
          <w:p w14:paraId="0FB0750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11</w:t>
            </w:r>
          </w:p>
        </w:tc>
        <w:tc>
          <w:tcPr>
            <w:tcW w:w="1727" w:type="dxa"/>
            <w:noWrap/>
            <w:vAlign w:val="center"/>
          </w:tcPr>
          <w:p w14:paraId="56B1CD3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投标有效期</w:t>
            </w:r>
          </w:p>
        </w:tc>
        <w:tc>
          <w:tcPr>
            <w:tcW w:w="6496" w:type="dxa"/>
            <w:noWrap/>
          </w:tcPr>
          <w:p w14:paraId="7C9494DD">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为90日历天（从投标截至之日算起）</w:t>
            </w:r>
          </w:p>
        </w:tc>
      </w:tr>
      <w:tr w14:paraId="3B9680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02E7529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12</w:t>
            </w:r>
          </w:p>
        </w:tc>
        <w:tc>
          <w:tcPr>
            <w:tcW w:w="1727" w:type="dxa"/>
            <w:noWrap/>
            <w:vAlign w:val="center"/>
          </w:tcPr>
          <w:p w14:paraId="464C8A9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w:t>
            </w:r>
          </w:p>
        </w:tc>
        <w:tc>
          <w:tcPr>
            <w:tcW w:w="6496" w:type="dxa"/>
            <w:noWrap/>
          </w:tcPr>
          <w:p w14:paraId="542E895B">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询价保证金为人民币</w:t>
            </w:r>
            <w:r>
              <w:rPr>
                <w:rFonts w:hint="eastAsia" w:asciiTheme="minorEastAsia" w:hAnsiTheme="minorEastAsia" w:cstheme="minorEastAsia"/>
                <w:b/>
                <w:color w:val="000000"/>
                <w:sz w:val="24"/>
                <w:szCs w:val="24"/>
                <w:u w:val="thick"/>
              </w:rPr>
              <w:t>贰仟</w:t>
            </w:r>
            <w:r>
              <w:rPr>
                <w:rFonts w:hint="eastAsia" w:asciiTheme="minorEastAsia" w:hAnsiTheme="minorEastAsia" w:cstheme="minorEastAsia"/>
                <w:color w:val="000000"/>
                <w:sz w:val="24"/>
                <w:szCs w:val="24"/>
              </w:rPr>
              <w:t>元整￥（2000.00元），中标后直接转为履约保证金（不足部分签定合同前缴齐）</w:t>
            </w:r>
          </w:p>
        </w:tc>
      </w:tr>
      <w:tr w14:paraId="0D017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5" w:hRule="atLeast"/>
          <w:jc w:val="center"/>
        </w:trPr>
        <w:tc>
          <w:tcPr>
            <w:tcW w:w="773" w:type="dxa"/>
            <w:noWrap/>
            <w:vAlign w:val="center"/>
          </w:tcPr>
          <w:p w14:paraId="32D1ACA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13</w:t>
            </w:r>
          </w:p>
        </w:tc>
        <w:tc>
          <w:tcPr>
            <w:tcW w:w="1727" w:type="dxa"/>
            <w:noWrap/>
            <w:vAlign w:val="center"/>
          </w:tcPr>
          <w:p w14:paraId="212D454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踏勘现场</w:t>
            </w:r>
          </w:p>
        </w:tc>
        <w:tc>
          <w:tcPr>
            <w:tcW w:w="6496" w:type="dxa"/>
            <w:noWrap/>
          </w:tcPr>
          <w:p w14:paraId="0D42E42F">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各投标人自行踏勘，询价单位只提供现有条件。</w:t>
            </w:r>
          </w:p>
        </w:tc>
      </w:tr>
      <w:tr w14:paraId="62485C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364063AE">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14</w:t>
            </w:r>
          </w:p>
        </w:tc>
        <w:tc>
          <w:tcPr>
            <w:tcW w:w="1727" w:type="dxa"/>
            <w:noWrap/>
            <w:vAlign w:val="center"/>
          </w:tcPr>
          <w:p w14:paraId="4CF973E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询价报价文件提交地点及截至时间</w:t>
            </w:r>
          </w:p>
        </w:tc>
        <w:tc>
          <w:tcPr>
            <w:tcW w:w="6496" w:type="dxa"/>
            <w:noWrap/>
          </w:tcPr>
          <w:p w14:paraId="6E625645">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收件人： 胡良飞</w:t>
            </w:r>
          </w:p>
          <w:p w14:paraId="57C06CEF">
            <w:pPr>
              <w:spacing w:line="500" w:lineRule="exact"/>
              <w:ind w:left="840" w:hanging="840" w:hangingChars="3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地点：桐城经开区建投集团五楼招投标办公室</w:t>
            </w:r>
          </w:p>
          <w:p w14:paraId="39870E32">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时间： 2024年</w:t>
            </w:r>
            <w:r>
              <w:rPr>
                <w:rFonts w:hint="eastAsia" w:asciiTheme="minorEastAsia" w:hAnsiTheme="minorEastAsia" w:cstheme="minorEastAsia"/>
                <w:color w:val="000000"/>
                <w:sz w:val="24"/>
                <w:szCs w:val="24"/>
                <w:lang w:val="en-US" w:eastAsia="zh-CN"/>
              </w:rPr>
              <w:t>11</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19</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时</w:t>
            </w:r>
          </w:p>
        </w:tc>
      </w:tr>
      <w:tr w14:paraId="5A2421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5" w:hRule="atLeast"/>
          <w:jc w:val="center"/>
        </w:trPr>
        <w:tc>
          <w:tcPr>
            <w:tcW w:w="773" w:type="dxa"/>
            <w:noWrap/>
            <w:vAlign w:val="center"/>
          </w:tcPr>
          <w:p w14:paraId="6D73822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15</w:t>
            </w:r>
          </w:p>
        </w:tc>
        <w:tc>
          <w:tcPr>
            <w:tcW w:w="1727" w:type="dxa"/>
            <w:noWrap/>
            <w:vAlign w:val="center"/>
          </w:tcPr>
          <w:p w14:paraId="023FCB7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开标时间</w:t>
            </w:r>
          </w:p>
        </w:tc>
        <w:tc>
          <w:tcPr>
            <w:tcW w:w="6496" w:type="dxa"/>
            <w:noWrap/>
          </w:tcPr>
          <w:p w14:paraId="38805C6F">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开标时间：2024年</w:t>
            </w:r>
            <w:r>
              <w:rPr>
                <w:rFonts w:hint="eastAsia" w:asciiTheme="minorEastAsia" w:hAnsiTheme="minorEastAsia" w:cstheme="minorEastAsia"/>
                <w:color w:val="000000"/>
                <w:sz w:val="24"/>
                <w:szCs w:val="24"/>
                <w:lang w:val="en-US" w:eastAsia="zh-CN"/>
              </w:rPr>
              <w:t>11</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19</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时</w:t>
            </w:r>
          </w:p>
          <w:p w14:paraId="3A934680">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地点：桐城经开区建投集团五楼招投标办公室</w:t>
            </w:r>
          </w:p>
        </w:tc>
      </w:tr>
    </w:tbl>
    <w:p w14:paraId="3CFE4508">
      <w:pPr>
        <w:spacing w:line="580" w:lineRule="exact"/>
        <w:ind w:firstLine="2650" w:firstLineChars="600"/>
        <w:rPr>
          <w:rFonts w:ascii="华文中宋" w:hAnsi="华文中宋" w:eastAsia="华文中宋" w:cs="华文中宋"/>
          <w:b/>
          <w:color w:val="000000"/>
          <w:sz w:val="44"/>
          <w:szCs w:val="44"/>
        </w:rPr>
      </w:pPr>
    </w:p>
    <w:p w14:paraId="1170A865">
      <w:pPr>
        <w:spacing w:line="580" w:lineRule="exact"/>
        <w:ind w:firstLine="2650" w:firstLineChars="600"/>
      </w:pPr>
      <w:r>
        <w:rPr>
          <w:rFonts w:hint="eastAsia" w:ascii="华文中宋" w:hAnsi="华文中宋" w:eastAsia="华文中宋" w:cs="华文中宋"/>
          <w:b/>
          <w:color w:val="000000"/>
          <w:sz w:val="44"/>
          <w:szCs w:val="44"/>
        </w:rPr>
        <w:t>二、招标文件</w:t>
      </w:r>
    </w:p>
    <w:p w14:paraId="5C7F962B">
      <w:pPr>
        <w:autoSpaceDE w:val="0"/>
        <w:autoSpaceDN w:val="0"/>
        <w:adjustRightInd w:val="0"/>
        <w:jc w:val="left"/>
        <w:rPr>
          <w:rFonts w:ascii="宋体" w:hAnsi="宋体" w:eastAsia="宋体" w:cs="宋体"/>
          <w:sz w:val="28"/>
          <w:szCs w:val="28"/>
        </w:rPr>
      </w:pPr>
    </w:p>
    <w:p w14:paraId="70B517AB">
      <w:pPr>
        <w:pStyle w:val="3"/>
        <w:spacing w:line="600" w:lineRule="exact"/>
        <w:ind w:firstLine="280" w:firstLineChars="100"/>
        <w:jc w:val="left"/>
        <w:rPr>
          <w:rFonts w:hAnsi="宋体" w:eastAsia="宋体" w:cs="宋体"/>
          <w:szCs w:val="28"/>
        </w:rPr>
      </w:pPr>
      <w:r>
        <w:rPr>
          <w:rFonts w:hint="eastAsia" w:hAnsi="宋体" w:eastAsia="宋体" w:cs="宋体"/>
          <w:szCs w:val="28"/>
        </w:rPr>
        <w:t>根据</w:t>
      </w:r>
      <w:r>
        <w:rPr>
          <w:rFonts w:hAnsi="宋体" w:eastAsia="宋体" w:cs="宋体"/>
          <w:szCs w:val="28"/>
        </w:rPr>
        <w:t>桐开建投委办秘（</w:t>
      </w:r>
      <w:r>
        <w:rPr>
          <w:rFonts w:hint="eastAsia" w:hAnsi="宋体" w:eastAsia="宋体" w:cs="宋体"/>
          <w:szCs w:val="28"/>
        </w:rPr>
        <w:t>2024）26号会议精神，桐城市高桥城小区（消防整改）改造工程由天正控股施工。天正控股现对桐城市高桥城小区外墙真石漆及施工专业分包进行公开招标，择优施工单位，欢迎符合条件的投标人参与投标。</w:t>
      </w:r>
    </w:p>
    <w:p w14:paraId="62E20315">
      <w:pPr>
        <w:autoSpaceDE w:val="0"/>
        <w:autoSpaceDN w:val="0"/>
        <w:adjustRightInd w:val="0"/>
        <w:jc w:val="left"/>
        <w:rPr>
          <w:rFonts w:ascii="宋体" w:hAnsi="宋体" w:eastAsia="宋体" w:cs="宋体"/>
          <w:b/>
          <w:sz w:val="28"/>
          <w:szCs w:val="28"/>
        </w:rPr>
      </w:pPr>
      <w:r>
        <w:rPr>
          <w:rFonts w:hint="eastAsia" w:ascii="宋体" w:hAnsi="宋体" w:eastAsia="宋体" w:cs="宋体"/>
          <w:b/>
          <w:sz w:val="28"/>
          <w:szCs w:val="28"/>
        </w:rPr>
        <w:t>一、项目简介</w:t>
      </w:r>
    </w:p>
    <w:p w14:paraId="121DFA8C">
      <w:pPr>
        <w:jc w:val="left"/>
        <w:rPr>
          <w:rFonts w:ascii="宋体" w:hAnsi="宋体" w:eastAsia="宋体" w:cs="宋体"/>
          <w:sz w:val="28"/>
          <w:szCs w:val="28"/>
        </w:rPr>
      </w:pPr>
      <w:r>
        <w:rPr>
          <w:rFonts w:hint="eastAsia" w:ascii="宋体" w:hAnsi="宋体" w:cs="宋体"/>
          <w:sz w:val="28"/>
          <w:szCs w:val="28"/>
        </w:rPr>
        <w:t>1、项目名称：</w:t>
      </w:r>
      <w:r>
        <w:rPr>
          <w:rFonts w:hint="eastAsia" w:ascii="宋体" w:hAnsi="宋体" w:cs="宋体"/>
          <w:sz w:val="28"/>
          <w:szCs w:val="28"/>
          <w:u w:val="single"/>
        </w:rPr>
        <w:t>桐城市高桥城小区（消防整改 ）改造工程外墙真石漆工程施工</w:t>
      </w:r>
      <w:r>
        <w:rPr>
          <w:rFonts w:hint="eastAsia" w:ascii="黑体" w:hAnsi="黑体" w:eastAsia="黑体" w:cs="黑体"/>
          <w:sz w:val="32"/>
          <w:szCs w:val="32"/>
        </w:rPr>
        <w:t xml:space="preserve">    </w:t>
      </w:r>
    </w:p>
    <w:p w14:paraId="51CFE07B">
      <w:pPr>
        <w:jc w:val="left"/>
        <w:rPr>
          <w:rFonts w:ascii="宋体" w:hAnsi="宋体" w:cs="宋体"/>
          <w:sz w:val="28"/>
          <w:szCs w:val="28"/>
        </w:rPr>
      </w:pPr>
      <w:r>
        <w:rPr>
          <w:rFonts w:hint="eastAsia" w:ascii="宋体" w:hAnsi="宋体" w:cs="宋体"/>
          <w:sz w:val="28"/>
          <w:szCs w:val="28"/>
        </w:rPr>
        <w:t>2、招标人：</w:t>
      </w:r>
      <w:r>
        <w:rPr>
          <w:rFonts w:hint="eastAsia" w:ascii="宋体" w:hAnsi="宋体" w:cs="宋体"/>
          <w:sz w:val="28"/>
          <w:szCs w:val="28"/>
          <w:u w:val="single"/>
        </w:rPr>
        <w:t xml:space="preserve">桐城市天正控股集团有限公司          </w:t>
      </w:r>
    </w:p>
    <w:p w14:paraId="393B037A">
      <w:pPr>
        <w:jc w:val="left"/>
        <w:rPr>
          <w:rFonts w:ascii="宋体" w:hAnsi="宋体" w:cs="宋体"/>
          <w:sz w:val="28"/>
          <w:szCs w:val="28"/>
          <w:u w:val="single"/>
        </w:rPr>
      </w:pPr>
      <w:r>
        <w:rPr>
          <w:rFonts w:hint="eastAsia" w:ascii="宋体" w:hAnsi="宋体" w:cs="宋体"/>
          <w:sz w:val="28"/>
          <w:szCs w:val="28"/>
        </w:rPr>
        <w:t>3、施工地点：</w:t>
      </w:r>
      <w:r>
        <w:rPr>
          <w:rFonts w:hint="eastAsia" w:ascii="黑体" w:hAnsi="黑体" w:eastAsia="黑体" w:cs="黑体"/>
          <w:sz w:val="32"/>
          <w:szCs w:val="32"/>
          <w:u w:val="single"/>
        </w:rPr>
        <w:t xml:space="preserve"> </w:t>
      </w:r>
      <w:r>
        <w:rPr>
          <w:rFonts w:hint="eastAsia" w:ascii="宋体" w:hAnsi="宋体" w:cs="宋体"/>
          <w:sz w:val="28"/>
          <w:szCs w:val="28"/>
          <w:u w:val="single"/>
        </w:rPr>
        <w:t xml:space="preserve">  </w:t>
      </w:r>
      <w:r>
        <w:rPr>
          <w:rFonts w:ascii="宋体" w:hAnsi="宋体" w:cs="宋体"/>
          <w:sz w:val="28"/>
          <w:szCs w:val="28"/>
          <w:u w:val="single"/>
        </w:rPr>
        <w:t>桐城</w:t>
      </w:r>
      <w:r>
        <w:rPr>
          <w:rFonts w:hint="eastAsia" w:ascii="宋体" w:hAnsi="宋体" w:cs="宋体"/>
          <w:sz w:val="28"/>
          <w:szCs w:val="28"/>
          <w:u w:val="single"/>
        </w:rPr>
        <w:t xml:space="preserve">市高桥城 </w:t>
      </w:r>
      <w:r>
        <w:rPr>
          <w:rFonts w:hint="eastAsia" w:ascii="宋体" w:hAnsi="宋体" w:cs="宋体"/>
          <w:sz w:val="28"/>
          <w:szCs w:val="28"/>
          <w:u w:val="single"/>
          <w:lang w:val="en-US" w:eastAsia="zh-CN"/>
        </w:rPr>
        <w:t>小区</w:t>
      </w:r>
      <w:r>
        <w:rPr>
          <w:rFonts w:hint="eastAsia" w:ascii="宋体" w:hAnsi="宋体" w:cs="宋体"/>
          <w:sz w:val="28"/>
          <w:szCs w:val="28"/>
          <w:u w:val="single"/>
        </w:rPr>
        <w:t xml:space="preserve">  </w:t>
      </w:r>
    </w:p>
    <w:p w14:paraId="41E93E89">
      <w:pPr>
        <w:jc w:val="left"/>
        <w:rPr>
          <w:sz w:val="28"/>
          <w:szCs w:val="28"/>
        </w:rPr>
      </w:pPr>
      <w:r>
        <w:rPr>
          <w:rFonts w:hint="eastAsia" w:ascii="宋体" w:hAnsi="宋体" w:eastAsia="宋体" w:cs="宋体"/>
          <w:b/>
          <w:sz w:val="28"/>
          <w:szCs w:val="28"/>
        </w:rPr>
        <w:t>二、</w:t>
      </w:r>
      <w:r>
        <w:rPr>
          <w:rFonts w:hint="eastAsia"/>
          <w:b/>
          <w:sz w:val="28"/>
          <w:szCs w:val="28"/>
        </w:rPr>
        <w:t>投标报价</w:t>
      </w:r>
      <w:r>
        <w:rPr>
          <w:rFonts w:hint="eastAsia"/>
          <w:sz w:val="28"/>
          <w:szCs w:val="28"/>
        </w:rPr>
        <w:t>：本工程按</w:t>
      </w:r>
      <w:r>
        <w:rPr>
          <w:rFonts w:hint="eastAsia"/>
          <w:sz w:val="28"/>
          <w:szCs w:val="28"/>
          <w:lang w:val="en-US" w:eastAsia="zh-CN"/>
        </w:rPr>
        <w:t>综合</w:t>
      </w:r>
      <w:r>
        <w:rPr>
          <w:rFonts w:hint="eastAsia"/>
          <w:sz w:val="28"/>
          <w:szCs w:val="28"/>
        </w:rPr>
        <w:t>单价每平方米多少钱报价，</w:t>
      </w:r>
      <w:r>
        <w:rPr>
          <w:rFonts w:hint="eastAsia"/>
          <w:sz w:val="28"/>
          <w:szCs w:val="28"/>
          <w:lang w:val="en-US" w:eastAsia="zh-CN"/>
        </w:rPr>
        <w:t>综合</w:t>
      </w:r>
      <w:r>
        <w:rPr>
          <w:rFonts w:hint="eastAsia"/>
          <w:sz w:val="28"/>
          <w:szCs w:val="28"/>
        </w:rPr>
        <w:t>单价包含增值税、运输费、装卸费及施工等一切费用。施工脚手架及其它辅助工具报价人自行安排。</w:t>
      </w:r>
    </w:p>
    <w:p w14:paraId="45724649">
      <w:pPr>
        <w:jc w:val="left"/>
        <w:rPr>
          <w:rFonts w:ascii="宋体" w:hAnsi="宋体" w:eastAsia="宋体" w:cs="宋体"/>
          <w:sz w:val="28"/>
          <w:szCs w:val="28"/>
          <w:vertAlign w:val="superscript"/>
        </w:rPr>
      </w:pPr>
      <w:r>
        <w:rPr>
          <w:rFonts w:hint="eastAsia"/>
          <w:b/>
          <w:sz w:val="28"/>
          <w:szCs w:val="28"/>
        </w:rPr>
        <w:t>三、最高限价：</w:t>
      </w:r>
      <w:r>
        <w:rPr>
          <w:rFonts w:hint="eastAsia" w:ascii="宋体" w:hAnsi="宋体" w:eastAsia="宋体" w:cs="宋体"/>
          <w:sz w:val="28"/>
          <w:szCs w:val="28"/>
        </w:rPr>
        <w:t>45元/ｍ</w:t>
      </w:r>
      <w:r>
        <w:rPr>
          <w:rFonts w:hint="eastAsia" w:ascii="宋体" w:hAnsi="宋体" w:eastAsia="宋体" w:cs="宋体"/>
          <w:sz w:val="28"/>
          <w:szCs w:val="28"/>
          <w:vertAlign w:val="superscript"/>
        </w:rPr>
        <w:t>2</w:t>
      </w:r>
    </w:p>
    <w:p w14:paraId="0AC14BA1">
      <w:pPr>
        <w:pStyle w:val="3"/>
        <w:spacing w:line="600" w:lineRule="exact"/>
        <w:ind w:firstLine="281" w:firstLineChars="100"/>
        <w:jc w:val="left"/>
        <w:rPr>
          <w:rFonts w:hAnsi="宋体" w:eastAsia="宋体" w:cs="宋体"/>
          <w:szCs w:val="28"/>
        </w:rPr>
      </w:pPr>
      <w:r>
        <w:rPr>
          <w:rFonts w:hint="eastAsia" w:hAnsi="宋体" w:eastAsia="宋体" w:cs="宋体"/>
          <w:b/>
          <w:szCs w:val="28"/>
        </w:rPr>
        <w:t>四、标段划分</w:t>
      </w:r>
      <w:r>
        <w:rPr>
          <w:rFonts w:hint="eastAsia" w:hAnsi="宋体" w:eastAsia="宋体" w:cs="宋体"/>
          <w:szCs w:val="28"/>
        </w:rPr>
        <w:t>：分为1个标段，拟为1个中标人。</w:t>
      </w:r>
    </w:p>
    <w:p w14:paraId="5DE50F0E">
      <w:pPr>
        <w:pStyle w:val="3"/>
        <w:spacing w:line="600" w:lineRule="exact"/>
        <w:ind w:left="560" w:leftChars="133" w:hanging="281" w:hangingChars="100"/>
        <w:jc w:val="left"/>
        <w:rPr>
          <w:rFonts w:hAnsi="宋体" w:eastAsia="宋体" w:cs="宋体"/>
          <w:szCs w:val="28"/>
        </w:rPr>
      </w:pPr>
      <w:r>
        <w:rPr>
          <w:rFonts w:hint="eastAsia" w:hAnsi="宋体" w:eastAsia="宋体" w:cs="宋体"/>
          <w:b/>
          <w:szCs w:val="28"/>
        </w:rPr>
        <w:t>五、询价内容</w:t>
      </w:r>
      <w:r>
        <w:rPr>
          <w:rFonts w:hint="eastAsia" w:hAnsi="宋体" w:eastAsia="宋体" w:cs="宋体"/>
          <w:szCs w:val="28"/>
        </w:rPr>
        <w:t>：外墙真石漆面积约为1720平方米，施工内容：1.清理基层；2.填补缝隙、局部腻子、磨平 ，3.涂饰底涂料；4.涂饰面层涂料；5.涂饰第二遍面层涂料。最终以实际完成工程量按实结算</w:t>
      </w:r>
      <w:r>
        <w:rPr>
          <w:rFonts w:hint="eastAsia" w:hAnsi="宋体" w:eastAsia="宋体" w:cs="宋体"/>
          <w:szCs w:val="28"/>
          <w:lang w:eastAsia="zh-CN"/>
        </w:rPr>
        <w:t>，</w:t>
      </w:r>
      <w:r>
        <w:rPr>
          <w:rFonts w:hint="eastAsia" w:hAnsi="宋体" w:eastAsia="宋体" w:cs="宋体"/>
          <w:szCs w:val="28"/>
        </w:rPr>
        <w:t>包含施工。</w:t>
      </w:r>
    </w:p>
    <w:p w14:paraId="1D46FE71">
      <w:pPr>
        <w:spacing w:line="480" w:lineRule="exact"/>
        <w:jc w:val="left"/>
        <w:rPr>
          <w:rFonts w:ascii="宋体" w:hAnsi="宋体" w:eastAsia="宋体" w:cs="宋体"/>
          <w:sz w:val="28"/>
          <w:szCs w:val="28"/>
        </w:rPr>
      </w:pPr>
      <w:r>
        <w:rPr>
          <w:rFonts w:hint="eastAsia" w:ascii="宋体" w:hAnsi="宋体" w:eastAsia="宋体" w:cs="宋体"/>
          <w:b/>
          <w:sz w:val="28"/>
          <w:szCs w:val="28"/>
        </w:rPr>
        <w:t>六、工程工期：</w:t>
      </w:r>
      <w:r>
        <w:rPr>
          <w:rFonts w:hint="eastAsia" w:ascii="宋体" w:hAnsi="宋体" w:eastAsia="宋体" w:cs="宋体"/>
          <w:b/>
          <w:sz w:val="28"/>
          <w:szCs w:val="28"/>
          <w:u w:val="thick"/>
        </w:rPr>
        <w:t>20天</w:t>
      </w:r>
    </w:p>
    <w:p w14:paraId="6BB2595D">
      <w:pPr>
        <w:spacing w:line="480" w:lineRule="exact"/>
        <w:jc w:val="left"/>
        <w:rPr>
          <w:rFonts w:ascii="宋体" w:hAnsi="宋体" w:eastAsia="宋体" w:cs="宋体"/>
          <w:sz w:val="28"/>
          <w:szCs w:val="28"/>
        </w:rPr>
      </w:pPr>
      <w:r>
        <w:rPr>
          <w:rFonts w:hint="eastAsia" w:ascii="宋体" w:hAnsi="宋体" w:eastAsia="宋体" w:cs="宋体"/>
          <w:b/>
          <w:sz w:val="28"/>
          <w:szCs w:val="28"/>
        </w:rPr>
        <w:t>七、工程质量标准</w:t>
      </w:r>
      <w:r>
        <w:rPr>
          <w:rFonts w:hint="eastAsia" w:ascii="宋体" w:hAnsi="宋体" w:eastAsia="宋体" w:cs="宋体"/>
          <w:sz w:val="28"/>
          <w:szCs w:val="28"/>
        </w:rPr>
        <w:t>：合格</w:t>
      </w:r>
    </w:p>
    <w:p w14:paraId="72F51C7D">
      <w:pPr>
        <w:spacing w:line="480" w:lineRule="exact"/>
        <w:jc w:val="left"/>
        <w:rPr>
          <w:rFonts w:ascii="宋体" w:hAnsi="宋体" w:eastAsia="宋体" w:cs="宋体"/>
          <w:sz w:val="28"/>
          <w:szCs w:val="28"/>
        </w:rPr>
      </w:pPr>
      <w:r>
        <w:rPr>
          <w:rFonts w:hint="eastAsia" w:ascii="宋体" w:hAnsi="宋体" w:eastAsia="宋体" w:cs="宋体"/>
          <w:b/>
          <w:bCs/>
          <w:sz w:val="28"/>
          <w:szCs w:val="28"/>
        </w:rPr>
        <w:t>八、资格审查：</w:t>
      </w:r>
      <w:r>
        <w:rPr>
          <w:rFonts w:hint="eastAsia" w:ascii="宋体" w:hAnsi="宋体" w:eastAsia="宋体" w:cs="宋体"/>
          <w:sz w:val="28"/>
          <w:szCs w:val="28"/>
        </w:rPr>
        <w:t>本工程对报价单位的资格审查采用资格先审方式，开标现场对投标单位的资格进行复查，不符合要求的，退回投标文件。</w:t>
      </w:r>
    </w:p>
    <w:p w14:paraId="54B41CF2">
      <w:pPr>
        <w:spacing w:line="480" w:lineRule="exact"/>
        <w:jc w:val="left"/>
        <w:rPr>
          <w:rFonts w:hint="eastAsia" w:ascii="宋体" w:hAnsi="宋体" w:eastAsia="宋体" w:cs="宋体"/>
          <w:b/>
          <w:sz w:val="28"/>
          <w:szCs w:val="28"/>
        </w:rPr>
      </w:pPr>
      <w:r>
        <w:rPr>
          <w:rFonts w:hint="eastAsia" w:ascii="宋体" w:hAnsi="宋体" w:eastAsia="宋体" w:cs="宋体"/>
          <w:b/>
          <w:sz w:val="28"/>
          <w:szCs w:val="28"/>
        </w:rPr>
        <w:t>九、投标单位、项目负责人资格要求：</w:t>
      </w:r>
    </w:p>
    <w:p w14:paraId="2ACC5A12">
      <w:pPr>
        <w:spacing w:line="480" w:lineRule="exact"/>
        <w:jc w:val="left"/>
        <w:rPr>
          <w:rFonts w:hint="eastAsia" w:ascii="宋体" w:hAnsi="宋体" w:eastAsia="宋体" w:cs="宋体"/>
          <w:sz w:val="28"/>
          <w:szCs w:val="28"/>
        </w:rPr>
      </w:pPr>
      <w:r>
        <w:rPr>
          <w:rFonts w:hint="eastAsia" w:ascii="宋体" w:hAnsi="宋体" w:eastAsia="宋体" w:cs="宋体"/>
          <w:sz w:val="28"/>
          <w:szCs w:val="28"/>
        </w:rPr>
        <w:t>9.1投标单位须具有独立法人资格；</w:t>
      </w:r>
    </w:p>
    <w:p w14:paraId="0097D551">
      <w:pPr>
        <w:spacing w:line="480" w:lineRule="exact"/>
        <w:jc w:val="left"/>
        <w:rPr>
          <w:rFonts w:ascii="宋体" w:hAnsi="宋体" w:eastAsia="宋体" w:cs="宋体"/>
          <w:sz w:val="28"/>
          <w:szCs w:val="28"/>
        </w:rPr>
      </w:pPr>
      <w:r>
        <w:rPr>
          <w:rFonts w:hint="eastAsia" w:ascii="宋体" w:hAnsi="宋体" w:eastAsia="宋体" w:cs="宋体"/>
          <w:sz w:val="28"/>
          <w:szCs w:val="28"/>
        </w:rPr>
        <w:t>9.2、施工资质：投标人必须具有建筑工程施工总承包三级及以上的施工资质。</w:t>
      </w:r>
    </w:p>
    <w:p w14:paraId="6EFFE6EC">
      <w:pPr>
        <w:spacing w:line="480" w:lineRule="exact"/>
        <w:jc w:val="left"/>
        <w:rPr>
          <w:rFonts w:ascii="宋体" w:hAnsi="宋体" w:eastAsia="宋体" w:cs="宋体"/>
          <w:sz w:val="28"/>
          <w:szCs w:val="28"/>
        </w:rPr>
      </w:pPr>
      <w:r>
        <w:rPr>
          <w:rFonts w:hint="eastAsia" w:ascii="宋体" w:hAnsi="宋体" w:eastAsia="宋体" w:cs="宋体"/>
          <w:sz w:val="28"/>
          <w:szCs w:val="28"/>
        </w:rPr>
        <w:t>9.3、安全生产条件：企业必须具备安全生产条件，并取得安全生产许可证。</w:t>
      </w:r>
    </w:p>
    <w:p w14:paraId="62C0F1DA">
      <w:pPr>
        <w:spacing w:line="480" w:lineRule="exact"/>
        <w:jc w:val="left"/>
        <w:rPr>
          <w:rFonts w:ascii="宋体" w:hAnsi="宋体" w:eastAsia="宋体" w:cs="宋体"/>
          <w:sz w:val="28"/>
          <w:szCs w:val="28"/>
        </w:rPr>
      </w:pPr>
      <w:r>
        <w:rPr>
          <w:rFonts w:hint="eastAsia" w:ascii="宋体" w:hAnsi="宋体" w:eastAsia="宋体" w:cs="宋体"/>
          <w:sz w:val="28"/>
          <w:szCs w:val="28"/>
        </w:rPr>
        <w:t>9.4项目经理具有二级及以上建筑工程专业注册建造师注册证书及B类安全员证书，项目负责人无在建工程，项目负责人承担过相近工程施工经验或者虽有在建工程，但合同约定范围内的全部施工任务已临近竣工阶段，并已向原发包人提供竣工验收申请，原发包人同意其参加其他工程项目的投标报价。</w:t>
      </w:r>
    </w:p>
    <w:p w14:paraId="11220409">
      <w:pPr>
        <w:spacing w:line="480" w:lineRule="exact"/>
        <w:jc w:val="left"/>
        <w:rPr>
          <w:rFonts w:ascii="宋体" w:hAnsi="宋体" w:eastAsia="宋体" w:cs="宋体"/>
          <w:sz w:val="28"/>
          <w:szCs w:val="28"/>
        </w:rPr>
      </w:pPr>
      <w:r>
        <w:rPr>
          <w:rFonts w:hint="eastAsia" w:ascii="宋体" w:hAnsi="宋体" w:eastAsia="宋体" w:cs="宋体"/>
          <w:sz w:val="28"/>
          <w:szCs w:val="28"/>
        </w:rPr>
        <w:t>9.5投标企业未处于被责令停业、投标资格被取消或财政被接管、冻结和破产状态；企业没有因骗取中标、严重违约或违规使用农民工、拖欠农民工工资以及发生重大工程质量、安全事故等问题，被有关部门暂停投标资格并在暂停期内的。</w:t>
      </w:r>
      <w:r>
        <w:rPr>
          <w:rFonts w:ascii="宋体" w:hAnsi="宋体" w:eastAsia="宋体" w:cs="宋体"/>
          <w:sz w:val="28"/>
          <w:szCs w:val="28"/>
        </w:rPr>
        <w:t xml:space="preserve"> </w:t>
      </w:r>
    </w:p>
    <w:p w14:paraId="58AB0396">
      <w:pPr>
        <w:spacing w:line="500" w:lineRule="exact"/>
        <w:rPr>
          <w:rFonts w:ascii="宋体" w:hAnsi="宋体" w:eastAsia="宋体" w:cs="宋体"/>
          <w:b/>
          <w:sz w:val="28"/>
          <w:szCs w:val="28"/>
        </w:rPr>
      </w:pPr>
      <w:r>
        <w:rPr>
          <w:rFonts w:hint="eastAsia" w:ascii="宋体" w:hAnsi="宋体" w:eastAsia="宋体" w:cs="宋体"/>
          <w:b/>
          <w:sz w:val="28"/>
          <w:szCs w:val="28"/>
        </w:rPr>
        <w:t>十、无效投标的情形：</w:t>
      </w:r>
    </w:p>
    <w:p w14:paraId="03B0C38D">
      <w:pPr>
        <w:spacing w:line="500" w:lineRule="exact"/>
        <w:rPr>
          <w:rFonts w:ascii="宋体" w:hAnsi="宋体" w:eastAsia="宋体" w:cs="宋体"/>
          <w:sz w:val="28"/>
          <w:szCs w:val="28"/>
        </w:rPr>
      </w:pPr>
      <w:r>
        <w:rPr>
          <w:rFonts w:hint="eastAsia" w:ascii="宋体" w:hAnsi="宋体" w:eastAsia="宋体" w:cs="宋体"/>
          <w:sz w:val="28"/>
          <w:szCs w:val="28"/>
        </w:rPr>
        <w:t>1．未能提供合格的资格文件；</w:t>
      </w:r>
    </w:p>
    <w:p w14:paraId="7416D689">
      <w:pPr>
        <w:spacing w:line="500" w:lineRule="exact"/>
        <w:rPr>
          <w:rFonts w:ascii="宋体" w:hAnsi="宋体" w:eastAsia="宋体" w:cs="宋体"/>
          <w:sz w:val="28"/>
          <w:szCs w:val="28"/>
        </w:rPr>
      </w:pPr>
      <w:r>
        <w:rPr>
          <w:rFonts w:hint="eastAsia" w:ascii="宋体" w:hAnsi="宋体" w:eastAsia="宋体" w:cs="宋体"/>
          <w:sz w:val="28"/>
          <w:szCs w:val="28"/>
        </w:rPr>
        <w:t>2．投标人未对招标文件内所要采购的全部内容进行报价的；</w:t>
      </w:r>
    </w:p>
    <w:p w14:paraId="38BD1939">
      <w:pPr>
        <w:spacing w:line="500" w:lineRule="exact"/>
        <w:rPr>
          <w:rFonts w:ascii="宋体" w:hAnsi="宋体" w:eastAsia="宋体" w:cs="宋体"/>
          <w:sz w:val="28"/>
          <w:szCs w:val="28"/>
        </w:rPr>
      </w:pPr>
      <w:r>
        <w:rPr>
          <w:rFonts w:hint="eastAsia" w:ascii="宋体" w:hAnsi="宋体" w:eastAsia="宋体" w:cs="宋体"/>
          <w:sz w:val="28"/>
          <w:szCs w:val="28"/>
        </w:rPr>
        <w:t>3．与招标文件有重大偏离的或未能实质性响应技术要求的；</w:t>
      </w:r>
    </w:p>
    <w:p w14:paraId="3A8FBDD0">
      <w:pPr>
        <w:spacing w:line="500" w:lineRule="exact"/>
        <w:rPr>
          <w:rFonts w:ascii="宋体" w:hAnsi="宋体" w:eastAsia="宋体" w:cs="宋体"/>
          <w:sz w:val="28"/>
          <w:szCs w:val="28"/>
        </w:rPr>
      </w:pPr>
      <w:r>
        <w:rPr>
          <w:rFonts w:hint="eastAsia" w:ascii="宋体" w:hAnsi="宋体" w:eastAsia="宋体" w:cs="宋体"/>
          <w:sz w:val="28"/>
          <w:szCs w:val="28"/>
        </w:rPr>
        <w:t>4．投标供应商在投标活动中提供任何虚假材料或从事其他违法活动的；</w:t>
      </w:r>
    </w:p>
    <w:p w14:paraId="23C1D6E8">
      <w:pPr>
        <w:spacing w:line="500" w:lineRule="exact"/>
        <w:rPr>
          <w:rFonts w:ascii="宋体" w:hAnsi="宋体" w:eastAsia="宋体" w:cs="宋体"/>
          <w:sz w:val="28"/>
          <w:szCs w:val="28"/>
        </w:rPr>
      </w:pPr>
      <w:r>
        <w:rPr>
          <w:rFonts w:hint="eastAsia" w:ascii="宋体" w:hAnsi="宋体" w:eastAsia="宋体" w:cs="宋体"/>
          <w:sz w:val="28"/>
          <w:szCs w:val="28"/>
        </w:rPr>
        <w:t>5．评标委员会认为其他不合理情况的；</w:t>
      </w:r>
    </w:p>
    <w:p w14:paraId="5198A3C6">
      <w:pPr>
        <w:spacing w:line="500" w:lineRule="exact"/>
        <w:rPr>
          <w:rFonts w:ascii="宋体" w:hAnsi="宋体" w:eastAsia="宋体" w:cs="宋体"/>
          <w:sz w:val="28"/>
          <w:szCs w:val="28"/>
        </w:rPr>
      </w:pPr>
      <w:r>
        <w:rPr>
          <w:rFonts w:hint="eastAsia" w:ascii="宋体" w:hAnsi="宋体" w:eastAsia="宋体" w:cs="宋体"/>
          <w:sz w:val="28"/>
          <w:szCs w:val="28"/>
        </w:rPr>
        <w:t>6．不符合法律、法规和本招标文件规定的其他实质性要求的。</w:t>
      </w:r>
    </w:p>
    <w:p w14:paraId="269A4F22">
      <w:pPr>
        <w:pStyle w:val="11"/>
      </w:pPr>
    </w:p>
    <w:p w14:paraId="6406FBF7">
      <w:pPr>
        <w:pStyle w:val="3"/>
        <w:spacing w:line="500" w:lineRule="exact"/>
        <w:rPr>
          <w:rFonts w:hAnsi="宋体" w:eastAsia="宋体" w:cs="宋体"/>
          <w:szCs w:val="28"/>
        </w:rPr>
      </w:pPr>
      <w:r>
        <w:rPr>
          <w:rFonts w:hint="eastAsia" w:hAnsi="宋体" w:eastAsia="宋体" w:cs="宋体"/>
          <w:b/>
          <w:bCs/>
          <w:szCs w:val="28"/>
        </w:rPr>
        <w:t>十一、投标保证金及退还</w:t>
      </w:r>
      <w:r>
        <w:rPr>
          <w:rFonts w:hint="eastAsia" w:hAnsi="宋体" w:eastAsia="宋体" w:cs="宋体"/>
          <w:szCs w:val="28"/>
        </w:rPr>
        <w:t>：人民币</w:t>
      </w:r>
      <w:r>
        <w:rPr>
          <w:rFonts w:hint="eastAsia" w:hAnsi="宋体" w:eastAsia="宋体" w:cs="宋体"/>
          <w:szCs w:val="28"/>
          <w:u w:val="thick"/>
        </w:rPr>
        <w:t>贰仟</w:t>
      </w:r>
      <w:r>
        <w:rPr>
          <w:rFonts w:hint="eastAsia" w:hAnsi="宋体" w:eastAsia="宋体" w:cs="宋体"/>
          <w:szCs w:val="28"/>
        </w:rPr>
        <w:t>元整（2000.00元），投标人在报价截止时间前须将保证金从投标人账户缴至桐城市天正控股集团有限公司基本账户，不得从其他账户转入（转帐时须备注项目名称），否则不接收投标文件。</w:t>
      </w:r>
      <w:r>
        <w:rPr>
          <w:rFonts w:hint="eastAsia" w:hAnsi="宋体" w:eastAsia="宋体" w:cs="宋体"/>
          <w:color w:val="000000"/>
          <w:szCs w:val="28"/>
        </w:rPr>
        <w:t>未中标的投标保证金一星期内退还（不计息）。</w:t>
      </w:r>
    </w:p>
    <w:p w14:paraId="484C8CAE">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 xml:space="preserve">收款人名称：桐城市天正控股集团有限公司  </w:t>
      </w:r>
    </w:p>
    <w:p w14:paraId="2A740CDA">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开户银行：安徽桐城农村商业银行股份有限公司文都支行</w:t>
      </w:r>
    </w:p>
    <w:p w14:paraId="57F7E0CB">
      <w:pPr>
        <w:spacing w:line="500" w:lineRule="exact"/>
        <w:rPr>
          <w:rFonts w:ascii="宋体" w:hAnsi="宋体" w:eastAsia="宋体" w:cs="宋体"/>
          <w:sz w:val="28"/>
          <w:szCs w:val="28"/>
        </w:rPr>
      </w:pPr>
      <w:r>
        <w:rPr>
          <w:rFonts w:hint="eastAsia" w:ascii="宋体" w:hAnsi="宋体" w:eastAsia="宋体" w:cs="宋体"/>
          <w:sz w:val="28"/>
          <w:szCs w:val="28"/>
        </w:rPr>
        <w:t>账  号：20000211916010300000059</w:t>
      </w:r>
    </w:p>
    <w:p w14:paraId="7FA7726D">
      <w:pPr>
        <w:spacing w:line="500" w:lineRule="exact"/>
        <w:rPr>
          <w:rFonts w:ascii="宋体" w:hAnsi="宋体" w:eastAsia="宋体" w:cs="宋体"/>
          <w:sz w:val="28"/>
          <w:szCs w:val="28"/>
        </w:rPr>
      </w:pPr>
      <w:r>
        <w:rPr>
          <w:rFonts w:hint="eastAsia" w:ascii="宋体" w:hAnsi="宋体" w:eastAsia="宋体" w:cs="宋体"/>
          <w:b/>
          <w:bCs/>
          <w:sz w:val="28"/>
          <w:szCs w:val="28"/>
        </w:rPr>
        <w:t>十二、付款方式：</w:t>
      </w:r>
      <w:r>
        <w:rPr>
          <w:rFonts w:hint="eastAsia" w:ascii="宋体" w:hAnsi="宋体" w:eastAsia="宋体" w:cs="宋体"/>
          <w:sz w:val="28"/>
          <w:szCs w:val="28"/>
        </w:rPr>
        <w:t>工程施工结束并经验收合格支付实际施工工程价款85%，待发包人与承包人结算后，承包人再与分包人办理结算，结算完毕后付至结算价的97%，余款3%转为质量保证金，满一年后退还（保证金不计息）。</w:t>
      </w:r>
    </w:p>
    <w:p w14:paraId="1FB49D00">
      <w:pPr>
        <w:spacing w:line="500" w:lineRule="exact"/>
        <w:rPr>
          <w:rFonts w:ascii="宋体" w:hAnsi="宋体" w:eastAsia="宋体" w:cs="宋体"/>
          <w:sz w:val="28"/>
          <w:szCs w:val="28"/>
        </w:rPr>
      </w:pPr>
      <w:r>
        <w:rPr>
          <w:rFonts w:hint="eastAsia" w:ascii="宋体" w:hAnsi="宋体" w:eastAsia="宋体" w:cs="宋体"/>
          <w:b/>
          <w:bCs/>
          <w:sz w:val="28"/>
          <w:szCs w:val="28"/>
        </w:rPr>
        <w:t>十三、履约保证金及退还</w:t>
      </w:r>
      <w:r>
        <w:rPr>
          <w:rFonts w:hint="eastAsia" w:ascii="宋体" w:hAnsi="宋体" w:eastAsia="宋体" w:cs="宋体"/>
          <w:sz w:val="28"/>
          <w:szCs w:val="28"/>
        </w:rPr>
        <w:t>：人民币</w:t>
      </w:r>
      <w:r>
        <w:rPr>
          <w:rFonts w:hint="eastAsia" w:ascii="宋体" w:hAnsi="宋体" w:eastAsia="宋体" w:cs="宋体"/>
          <w:sz w:val="28"/>
          <w:szCs w:val="28"/>
          <w:u w:val="thick"/>
        </w:rPr>
        <w:t>贰仟</w:t>
      </w:r>
      <w:r>
        <w:rPr>
          <w:rFonts w:hint="eastAsia" w:ascii="宋体" w:hAnsi="宋体" w:eastAsia="宋体" w:cs="宋体"/>
          <w:sz w:val="28"/>
          <w:szCs w:val="28"/>
        </w:rPr>
        <w:t>元整（￥2000.00元），中标单位投标保证金自动转为履约保证金，差额部分开标三个工作日补齐。</w:t>
      </w:r>
    </w:p>
    <w:p w14:paraId="5B034614">
      <w:pPr>
        <w:spacing w:line="500" w:lineRule="exact"/>
        <w:rPr>
          <w:rFonts w:ascii="宋体" w:hAnsi="宋体" w:eastAsia="宋体" w:cs="宋体"/>
          <w:sz w:val="28"/>
          <w:szCs w:val="28"/>
        </w:rPr>
      </w:pPr>
      <w:r>
        <w:rPr>
          <w:rFonts w:hint="eastAsia" w:ascii="宋体" w:hAnsi="宋体" w:eastAsia="宋体" w:cs="宋体"/>
          <w:color w:val="000000"/>
          <w:sz w:val="28"/>
          <w:szCs w:val="28"/>
        </w:rPr>
        <w:t>工程竣工验收合格后一次性退还（不计息）</w:t>
      </w:r>
    </w:p>
    <w:p w14:paraId="571292AC">
      <w:pPr>
        <w:spacing w:line="500" w:lineRule="exact"/>
        <w:rPr>
          <w:rFonts w:ascii="宋体" w:hAnsi="宋体" w:eastAsia="宋体" w:cs="宋体"/>
          <w:sz w:val="28"/>
          <w:szCs w:val="28"/>
        </w:rPr>
      </w:pPr>
      <w:r>
        <w:rPr>
          <w:rFonts w:hint="eastAsia" w:ascii="宋体" w:hAnsi="宋体" w:eastAsia="宋体" w:cs="宋体"/>
          <w:b/>
          <w:bCs/>
          <w:color w:val="000000"/>
          <w:sz w:val="28"/>
          <w:szCs w:val="28"/>
        </w:rPr>
        <w:t>十四、</w:t>
      </w:r>
      <w:r>
        <w:rPr>
          <w:rFonts w:hint="eastAsia" w:ascii="宋体" w:hAnsi="宋体" w:eastAsia="宋体" w:cs="宋体"/>
          <w:b/>
          <w:bCs/>
          <w:sz w:val="28"/>
          <w:szCs w:val="28"/>
        </w:rPr>
        <w:t>投标截止时间及提交地点：</w:t>
      </w:r>
      <w:r>
        <w:rPr>
          <w:rFonts w:hint="eastAsia" w:ascii="宋体" w:hAnsi="宋体" w:eastAsia="宋体" w:cs="宋体"/>
          <w:sz w:val="28"/>
          <w:szCs w:val="28"/>
        </w:rPr>
        <w:t>投标文件应于2024 年</w:t>
      </w:r>
      <w:r>
        <w:rPr>
          <w:rFonts w:hint="eastAsia" w:ascii="宋体" w:hAnsi="宋体" w:eastAsia="宋体" w:cs="宋体"/>
          <w:sz w:val="28"/>
          <w:szCs w:val="28"/>
          <w:lang w:val="en-US" w:eastAsia="zh-CN"/>
        </w:rPr>
        <w:t>11</w:t>
      </w:r>
      <w:r>
        <w:rPr>
          <w:rFonts w:hint="eastAsia" w:ascii="宋体" w:hAnsi="宋体" w:eastAsia="宋体" w:cs="宋体"/>
          <w:sz w:val="28"/>
          <w:szCs w:val="28"/>
        </w:rPr>
        <w:t>月</w:t>
      </w:r>
      <w:r>
        <w:rPr>
          <w:rFonts w:hint="eastAsia" w:ascii="宋体" w:hAnsi="宋体" w:eastAsia="宋体" w:cs="宋体"/>
          <w:sz w:val="28"/>
          <w:szCs w:val="28"/>
          <w:lang w:val="en-US" w:eastAsia="zh-CN"/>
        </w:rPr>
        <w:t>19</w:t>
      </w:r>
      <w:r>
        <w:rPr>
          <w:rFonts w:hint="eastAsia" w:ascii="宋体" w:hAnsi="宋体" w:eastAsia="宋体" w:cs="宋体"/>
          <w:sz w:val="28"/>
          <w:szCs w:val="28"/>
        </w:rPr>
        <w:t>日</w:t>
      </w:r>
      <w:r>
        <w:rPr>
          <w:rFonts w:hint="eastAsia" w:ascii="宋体" w:hAnsi="宋体" w:eastAsia="宋体" w:cs="宋体"/>
          <w:sz w:val="28"/>
          <w:szCs w:val="28"/>
          <w:lang w:eastAsia="zh-CN"/>
        </w:rPr>
        <w:t>下</w:t>
      </w:r>
      <w:r>
        <w:rPr>
          <w:rFonts w:hint="eastAsia" w:ascii="宋体" w:hAnsi="宋体" w:eastAsia="宋体" w:cs="宋体"/>
          <w:sz w:val="28"/>
          <w:szCs w:val="28"/>
        </w:rPr>
        <w:t>午</w:t>
      </w:r>
      <w:r>
        <w:rPr>
          <w:rFonts w:hint="eastAsia" w:ascii="宋体" w:hAnsi="宋体" w:eastAsia="宋体" w:cs="宋体"/>
          <w:sz w:val="28"/>
          <w:szCs w:val="28"/>
          <w:lang w:val="en-US" w:eastAsia="zh-CN"/>
        </w:rPr>
        <w:t>15</w:t>
      </w:r>
      <w:r>
        <w:rPr>
          <w:rFonts w:hint="eastAsia" w:ascii="宋体" w:hAnsi="宋体" w:eastAsia="宋体" w:cs="宋体"/>
          <w:sz w:val="28"/>
          <w:szCs w:val="28"/>
        </w:rPr>
        <w:t>时前提交至桐城经开区建投集团五楼招投标办公室，逾期送达的或不符合规定的投标文件将被拒绝。</w:t>
      </w:r>
    </w:p>
    <w:p w14:paraId="68DE0806">
      <w:pPr>
        <w:spacing w:line="500" w:lineRule="exact"/>
        <w:rPr>
          <w:rFonts w:ascii="宋体" w:hAnsi="宋体" w:eastAsia="宋体" w:cs="宋体"/>
          <w:sz w:val="28"/>
          <w:szCs w:val="28"/>
        </w:rPr>
      </w:pPr>
      <w:r>
        <w:rPr>
          <w:rFonts w:hint="eastAsia" w:ascii="宋体" w:hAnsi="宋体" w:eastAsia="宋体" w:cs="宋体"/>
          <w:b/>
          <w:bCs/>
          <w:sz w:val="28"/>
          <w:szCs w:val="28"/>
        </w:rPr>
        <w:t>十五、开标时间及地点：</w:t>
      </w:r>
      <w:r>
        <w:rPr>
          <w:rFonts w:hint="eastAsia" w:ascii="宋体" w:hAnsi="宋体" w:eastAsia="宋体" w:cs="宋体"/>
          <w:sz w:val="28"/>
          <w:szCs w:val="28"/>
        </w:rPr>
        <w:t>投标文件提交截止时间的同一时间在</w:t>
      </w:r>
      <w:r>
        <w:rPr>
          <w:rFonts w:hint="eastAsia" w:ascii="宋体" w:hAnsi="宋体" w:eastAsia="宋体" w:cs="宋体"/>
          <w:b/>
          <w:bCs/>
          <w:sz w:val="28"/>
          <w:szCs w:val="28"/>
        </w:rPr>
        <w:t>桐城经开区建投集团五楼招投标办公室</w:t>
      </w:r>
      <w:r>
        <w:rPr>
          <w:rFonts w:hint="eastAsia" w:ascii="宋体" w:hAnsi="宋体" w:eastAsia="宋体" w:cs="宋体"/>
          <w:sz w:val="28"/>
          <w:szCs w:val="28"/>
        </w:rPr>
        <w:t>进行。请各投标单位准时参加。</w:t>
      </w:r>
    </w:p>
    <w:p w14:paraId="07B1B307">
      <w:pPr>
        <w:pStyle w:val="11"/>
      </w:pPr>
    </w:p>
    <w:p w14:paraId="78BE59DE">
      <w:pPr>
        <w:pStyle w:val="11"/>
        <w:rPr>
          <w:rFonts w:ascii="宋体" w:hAnsi="宋体" w:cs="宋体"/>
          <w:bCs/>
          <w:kern w:val="2"/>
          <w:sz w:val="28"/>
          <w:szCs w:val="28"/>
        </w:rPr>
      </w:pPr>
      <w:r>
        <w:rPr>
          <w:rFonts w:hint="eastAsia" w:ascii="宋体" w:hAnsi="宋体" w:cs="宋体"/>
          <w:bCs/>
          <w:kern w:val="2"/>
          <w:sz w:val="28"/>
          <w:szCs w:val="28"/>
        </w:rPr>
        <w:t>十六、评标方法：合理低价法</w:t>
      </w:r>
    </w:p>
    <w:p w14:paraId="480F09E2">
      <w:pPr>
        <w:pStyle w:val="11"/>
        <w:rPr>
          <w:rFonts w:ascii="宋体" w:hAnsi="宋体" w:cs="宋体"/>
          <w:b w:val="0"/>
          <w:kern w:val="2"/>
          <w:sz w:val="28"/>
          <w:szCs w:val="28"/>
        </w:rPr>
      </w:pPr>
      <w:r>
        <w:rPr>
          <w:rFonts w:hint="eastAsia" w:ascii="宋体" w:hAnsi="宋体" w:cs="宋体"/>
          <w:b w:val="0"/>
          <w:kern w:val="2"/>
          <w:sz w:val="28"/>
          <w:szCs w:val="28"/>
        </w:rPr>
        <w:t>本次本次招标采用三轮报价竞价方式进行，第二轮有效报价为低于第一轮最低报价，超过第一轮最低报价的均为无效报价；第三轮有效报价为低于第二轮最低报价，超过第二轮最低报价的均为无效报价。第三轮报价结束，报价最低为中标候选人。</w:t>
      </w:r>
    </w:p>
    <w:p w14:paraId="20CC32E3">
      <w:pPr>
        <w:spacing w:line="500" w:lineRule="exact"/>
        <w:rPr>
          <w:rFonts w:ascii="宋体" w:hAnsi="宋体" w:eastAsia="宋体" w:cs="宋体"/>
          <w:sz w:val="28"/>
          <w:szCs w:val="28"/>
        </w:rPr>
      </w:pPr>
      <w:r>
        <w:rPr>
          <w:rFonts w:hint="eastAsia" w:ascii="宋体" w:hAnsi="宋体" w:eastAsia="宋体" w:cs="宋体"/>
          <w:sz w:val="28"/>
          <w:szCs w:val="28"/>
        </w:rPr>
        <w:t>评标办法：由招标评标委员会成员、评标委员会对中标候选人的经济基础、组织管理协调能力、等各项因素进行综合考虑，确定中标人候选人，报集团公司党委会批准后正式确定为中标人。对未中标候选人不作解释。</w:t>
      </w:r>
    </w:p>
    <w:p w14:paraId="217342DA">
      <w:pPr>
        <w:spacing w:line="500" w:lineRule="exact"/>
        <w:rPr>
          <w:rFonts w:ascii="宋体" w:hAnsi="宋体" w:eastAsia="宋体" w:cs="宋体"/>
          <w:b/>
          <w:bCs/>
          <w:kern w:val="0"/>
          <w:sz w:val="28"/>
          <w:szCs w:val="28"/>
        </w:rPr>
      </w:pPr>
      <w:r>
        <w:rPr>
          <w:rFonts w:hint="eastAsia" w:ascii="宋体" w:hAnsi="宋体" w:eastAsia="宋体" w:cs="宋体"/>
          <w:b/>
          <w:bCs/>
          <w:kern w:val="0"/>
          <w:sz w:val="28"/>
          <w:szCs w:val="28"/>
        </w:rPr>
        <w:t>十七、投标报名及招标文件获取、答疑澄清：</w:t>
      </w:r>
    </w:p>
    <w:p w14:paraId="4D56ED61">
      <w:pPr>
        <w:spacing w:line="500" w:lineRule="exact"/>
        <w:rPr>
          <w:rFonts w:ascii="宋体" w:hAnsi="宋体" w:eastAsia="宋体" w:cs="宋体"/>
          <w:sz w:val="28"/>
          <w:szCs w:val="28"/>
        </w:rPr>
      </w:pPr>
      <w:r>
        <w:rPr>
          <w:rFonts w:hint="eastAsia" w:ascii="宋体" w:hAnsi="宋体" w:eastAsia="宋体" w:cs="宋体"/>
          <w:sz w:val="28"/>
          <w:szCs w:val="28"/>
        </w:rPr>
        <w:t>1、凡有意参加投标并符合资格要求投标单位，请于2024年</w:t>
      </w:r>
      <w:r>
        <w:rPr>
          <w:rFonts w:hint="eastAsia" w:ascii="宋体" w:hAnsi="宋体" w:eastAsia="宋体" w:cs="宋体"/>
          <w:sz w:val="28"/>
          <w:szCs w:val="28"/>
          <w:lang w:val="en-US" w:eastAsia="zh-CN"/>
        </w:rPr>
        <w:t>11</w:t>
      </w:r>
      <w:r>
        <w:rPr>
          <w:rFonts w:hint="eastAsia" w:ascii="宋体" w:hAnsi="宋体" w:eastAsia="宋体" w:cs="宋体"/>
          <w:sz w:val="28"/>
          <w:szCs w:val="28"/>
        </w:rPr>
        <w:t>月</w:t>
      </w:r>
      <w:r>
        <w:rPr>
          <w:rFonts w:hint="eastAsia" w:ascii="宋体" w:hAnsi="宋体" w:eastAsia="宋体" w:cs="宋体"/>
          <w:sz w:val="28"/>
          <w:szCs w:val="28"/>
          <w:lang w:val="en-US" w:eastAsia="zh-CN"/>
        </w:rPr>
        <w:t>15</w:t>
      </w:r>
      <w:r>
        <w:rPr>
          <w:rFonts w:hint="eastAsia" w:ascii="宋体" w:hAnsi="宋体" w:eastAsia="宋体" w:cs="宋体"/>
          <w:sz w:val="28"/>
          <w:szCs w:val="28"/>
        </w:rPr>
        <w:t>日至2024年</w:t>
      </w:r>
      <w:r>
        <w:rPr>
          <w:rFonts w:hint="eastAsia" w:ascii="宋体" w:hAnsi="宋体" w:eastAsia="宋体" w:cs="宋体"/>
          <w:sz w:val="28"/>
          <w:szCs w:val="28"/>
          <w:lang w:val="en-US" w:eastAsia="zh-CN"/>
        </w:rPr>
        <w:t>11</w:t>
      </w:r>
      <w:r>
        <w:rPr>
          <w:rFonts w:hint="eastAsia" w:ascii="宋体" w:hAnsi="宋体" w:eastAsia="宋体" w:cs="宋体"/>
          <w:sz w:val="28"/>
          <w:szCs w:val="28"/>
        </w:rPr>
        <w:t>月</w:t>
      </w:r>
      <w:r>
        <w:rPr>
          <w:rFonts w:hint="eastAsia" w:ascii="宋体" w:hAnsi="宋体" w:eastAsia="宋体" w:cs="宋体"/>
          <w:sz w:val="28"/>
          <w:szCs w:val="28"/>
          <w:lang w:val="en-US" w:eastAsia="zh-CN"/>
        </w:rPr>
        <w:t>19</w:t>
      </w:r>
      <w:r>
        <w:rPr>
          <w:rFonts w:hint="eastAsia" w:ascii="宋体" w:hAnsi="宋体" w:eastAsia="宋体" w:cs="宋体"/>
          <w:sz w:val="28"/>
          <w:szCs w:val="28"/>
        </w:rPr>
        <w:t>日自行在桐城经开区建设投资集团有限公司网站下载。具体流程如下：登陆桐城经开区建设投资集团有限公司网站（</w:t>
      </w:r>
      <w:r>
        <w:fldChar w:fldCharType="begin"/>
      </w:r>
      <w:r>
        <w:instrText xml:space="preserve"> HYPERLINK "http://tc-house.com.cn/zhaobiao" </w:instrText>
      </w:r>
      <w:r>
        <w:fldChar w:fldCharType="separate"/>
      </w:r>
      <w:r>
        <w:rPr>
          <w:rFonts w:hint="eastAsia" w:ascii="宋体" w:hAnsi="宋体" w:eastAsia="宋体" w:cs="宋体"/>
          <w:sz w:val="28"/>
          <w:szCs w:val="28"/>
        </w:rPr>
        <w:t>http://tc-house.com.cn/zhaobiao</w:t>
      </w:r>
      <w:r>
        <w:rPr>
          <w:rFonts w:hint="eastAsia" w:ascii="宋体" w:hAnsi="宋体" w:eastAsia="宋体" w:cs="宋体"/>
          <w:sz w:val="28"/>
          <w:szCs w:val="28"/>
        </w:rPr>
        <w:fldChar w:fldCharType="end"/>
      </w:r>
      <w:r>
        <w:rPr>
          <w:rFonts w:hint="eastAsia" w:ascii="宋体" w:hAnsi="宋体" w:eastAsia="宋体" w:cs="宋体"/>
          <w:sz w:val="28"/>
          <w:szCs w:val="28"/>
        </w:rPr>
        <w:t>），进入“招标采购项目”模块，下载招标文件进行线下投标。</w:t>
      </w:r>
    </w:p>
    <w:p w14:paraId="449FF79A">
      <w:pPr>
        <w:spacing w:line="500" w:lineRule="exact"/>
        <w:rPr>
          <w:rFonts w:ascii="宋体" w:hAnsi="宋体" w:eastAsia="宋体" w:cs="宋体"/>
          <w:sz w:val="28"/>
          <w:szCs w:val="28"/>
        </w:rPr>
      </w:pPr>
      <w:r>
        <w:rPr>
          <w:rFonts w:hint="eastAsia" w:ascii="宋体" w:hAnsi="宋体" w:eastAsia="宋体" w:cs="宋体"/>
          <w:sz w:val="28"/>
          <w:szCs w:val="28"/>
        </w:rPr>
        <w:t>2、如有招标答疑、补遗、澄清或修改，招标人将于招标文件规定的时间在桐城经开区建设投资集团有限公司网站补遗澄清栏发布，请投标人在开标前自行查阅并下载打印装订在投标文件中，否则所造成的一切后果包括但不限于作无效标处理等，由投标人自行承担。</w:t>
      </w:r>
    </w:p>
    <w:p w14:paraId="5FA8F2A3">
      <w:pPr>
        <w:spacing w:line="500" w:lineRule="exact"/>
        <w:rPr>
          <w:rFonts w:ascii="宋体" w:hAnsi="宋体" w:eastAsia="宋体" w:cs="宋体"/>
          <w:sz w:val="28"/>
          <w:szCs w:val="28"/>
        </w:rPr>
      </w:pPr>
      <w:r>
        <w:rPr>
          <w:rFonts w:hint="eastAsia" w:ascii="宋体" w:hAnsi="宋体" w:eastAsia="宋体" w:cs="宋体"/>
          <w:b/>
          <w:sz w:val="28"/>
          <w:szCs w:val="28"/>
        </w:rPr>
        <w:t>十八、投标文件编制格式：</w:t>
      </w:r>
      <w:r>
        <w:rPr>
          <w:rFonts w:hint="eastAsia" w:ascii="宋体" w:hAnsi="宋体" w:eastAsia="宋体" w:cs="宋体"/>
          <w:sz w:val="28"/>
          <w:szCs w:val="28"/>
        </w:rPr>
        <w:t>投标文件应包括独立法人、有效营业执照及基本户证明文件，相应资质证明，具体格式不作要求。</w:t>
      </w:r>
    </w:p>
    <w:p w14:paraId="2007938B">
      <w:pPr>
        <w:spacing w:line="500" w:lineRule="exact"/>
        <w:rPr>
          <w:rFonts w:ascii="宋体" w:hAnsi="宋体" w:eastAsia="宋体" w:cs="宋体"/>
          <w:sz w:val="28"/>
          <w:szCs w:val="28"/>
        </w:rPr>
      </w:pPr>
      <w:r>
        <w:rPr>
          <w:rFonts w:hint="eastAsia" w:ascii="宋体" w:hAnsi="宋体" w:eastAsia="宋体" w:cs="宋体"/>
          <w:b/>
          <w:sz w:val="28"/>
          <w:szCs w:val="28"/>
        </w:rPr>
        <w:t>十九、招标失败</w:t>
      </w:r>
      <w:r>
        <w:rPr>
          <w:rFonts w:hint="eastAsia" w:ascii="宋体" w:hAnsi="宋体" w:eastAsia="宋体" w:cs="宋体"/>
          <w:sz w:val="28"/>
          <w:szCs w:val="28"/>
        </w:rPr>
        <w:t>：符合投标条件的报价单位不足三家，桐城经开区建设投资集团有限公司招投标领导小组办公室则重新组织询价招标。</w:t>
      </w:r>
    </w:p>
    <w:p w14:paraId="265A3BF9">
      <w:pPr>
        <w:spacing w:line="500" w:lineRule="exact"/>
        <w:rPr>
          <w:rFonts w:ascii="宋体" w:hAnsi="宋体" w:eastAsia="宋体" w:cs="宋体"/>
          <w:sz w:val="28"/>
          <w:szCs w:val="28"/>
        </w:rPr>
      </w:pPr>
      <w:r>
        <w:rPr>
          <w:rFonts w:hint="eastAsia" w:ascii="宋体" w:hAnsi="宋体" w:eastAsia="宋体" w:cs="宋体"/>
          <w:b/>
          <w:sz w:val="28"/>
          <w:szCs w:val="28"/>
        </w:rPr>
        <w:t>二十、信访投诉：</w:t>
      </w:r>
      <w:r>
        <w:rPr>
          <w:rFonts w:hint="eastAsia" w:ascii="宋体" w:hAnsi="宋体" w:eastAsia="宋体" w:cs="宋体"/>
          <w:sz w:val="28"/>
          <w:szCs w:val="28"/>
        </w:rPr>
        <w:t>本工程招投标过程中若发现违规违纪行为，请及时以书面（或电话）反馈至桐城经开区建设投资集团有限公司纪检组。联系人：陈先生；联系电话：13956533076</w:t>
      </w:r>
    </w:p>
    <w:p w14:paraId="4E8F50B5">
      <w:pPr>
        <w:spacing w:line="500" w:lineRule="exact"/>
        <w:rPr>
          <w:rFonts w:ascii="宋体" w:hAnsi="宋体" w:eastAsia="宋体" w:cs="宋体"/>
          <w:sz w:val="28"/>
          <w:szCs w:val="28"/>
        </w:rPr>
      </w:pPr>
    </w:p>
    <w:p w14:paraId="549A3F94">
      <w:pPr>
        <w:spacing w:line="500" w:lineRule="exact"/>
        <w:ind w:firstLine="3360" w:firstLineChars="1200"/>
        <w:rPr>
          <w:rFonts w:ascii="宋体" w:hAnsi="宋体" w:eastAsia="宋体" w:cs="宋体"/>
          <w:sz w:val="28"/>
          <w:szCs w:val="28"/>
        </w:rPr>
      </w:pPr>
    </w:p>
    <w:p w14:paraId="73C2CA22">
      <w:pPr>
        <w:spacing w:line="500" w:lineRule="exact"/>
        <w:ind w:firstLine="3360" w:firstLineChars="1200"/>
        <w:rPr>
          <w:rFonts w:ascii="宋体" w:hAnsi="宋体" w:eastAsia="宋体" w:cs="宋体"/>
          <w:sz w:val="28"/>
          <w:szCs w:val="28"/>
        </w:rPr>
      </w:pPr>
      <w:r>
        <w:rPr>
          <w:rFonts w:hint="eastAsia" w:ascii="宋体" w:hAnsi="宋体" w:eastAsia="宋体" w:cs="宋体"/>
          <w:sz w:val="28"/>
          <w:szCs w:val="28"/>
        </w:rPr>
        <w:t>招标单位： 桐城市天正控股集团有限公司</w:t>
      </w:r>
    </w:p>
    <w:p w14:paraId="5ED412B9">
      <w:pPr>
        <w:spacing w:line="500" w:lineRule="exact"/>
        <w:ind w:firstLine="1960" w:firstLineChars="700"/>
        <w:rPr>
          <w:rFonts w:hint="default" w:ascii="宋体" w:hAnsi="宋体" w:eastAsia="宋体" w:cs="宋体"/>
          <w:sz w:val="28"/>
          <w:szCs w:val="28"/>
          <w:lang w:val="en-US" w:eastAsia="zh-CN"/>
        </w:rPr>
      </w:pPr>
      <w:r>
        <w:rPr>
          <w:rFonts w:hint="eastAsia" w:ascii="宋体" w:hAnsi="宋体" w:eastAsia="宋体" w:cs="宋体"/>
          <w:sz w:val="28"/>
          <w:szCs w:val="28"/>
        </w:rPr>
        <w:t xml:space="preserve">                      2024--</w:t>
      </w:r>
      <w:r>
        <w:rPr>
          <w:rFonts w:hint="eastAsia" w:ascii="宋体" w:hAnsi="宋体" w:eastAsia="宋体" w:cs="宋体"/>
          <w:sz w:val="28"/>
          <w:szCs w:val="28"/>
          <w:lang w:val="en-US" w:eastAsia="zh-CN"/>
        </w:rPr>
        <w:t>11--15</w:t>
      </w:r>
      <w:bookmarkStart w:id="0" w:name="_GoBack"/>
      <w:bookmarkEnd w:id="0"/>
    </w:p>
    <w:p w14:paraId="7192CAD7">
      <w:pPr>
        <w:spacing w:line="500" w:lineRule="exact"/>
        <w:ind w:firstLine="1960" w:firstLineChars="700"/>
        <w:rPr>
          <w:rFonts w:ascii="宋体" w:hAnsi="宋体" w:eastAsia="宋体" w:cs="宋体"/>
          <w:sz w:val="28"/>
          <w:szCs w:val="28"/>
        </w:rPr>
      </w:pPr>
    </w:p>
    <w:p w14:paraId="009CFF44">
      <w:pPr>
        <w:pStyle w:val="11"/>
      </w:pPr>
    </w:p>
    <w:p w14:paraId="6F822662">
      <w:pPr>
        <w:pStyle w:val="11"/>
      </w:pPr>
    </w:p>
    <w:p w14:paraId="534EA4F7">
      <w:pPr>
        <w:pStyle w:val="11"/>
      </w:pPr>
    </w:p>
    <w:p w14:paraId="3195DE5A">
      <w:pPr>
        <w:pStyle w:val="11"/>
      </w:pPr>
    </w:p>
    <w:p w14:paraId="7804F16E">
      <w:pPr>
        <w:pStyle w:val="3"/>
        <w:spacing w:line="800" w:lineRule="exact"/>
        <w:rPr>
          <w:rFonts w:hAnsi="宋体" w:cs="宋体"/>
          <w:szCs w:val="28"/>
        </w:rPr>
      </w:pPr>
    </w:p>
    <w:p w14:paraId="1A8B8371">
      <w:pPr>
        <w:pStyle w:val="3"/>
        <w:spacing w:line="800" w:lineRule="exact"/>
        <w:rPr>
          <w:rFonts w:hAnsi="宋体" w:cs="宋体"/>
          <w:szCs w:val="28"/>
        </w:rPr>
      </w:pPr>
    </w:p>
    <w:p w14:paraId="272F2111">
      <w:pPr>
        <w:pStyle w:val="3"/>
        <w:spacing w:line="800" w:lineRule="exact"/>
        <w:rPr>
          <w:rFonts w:ascii="华文中宋" w:hAnsi="华文中宋" w:eastAsia="华文中宋" w:cs="华文中宋"/>
          <w:b/>
          <w:bCs/>
          <w:color w:val="000000"/>
          <w:kern w:val="0"/>
          <w:sz w:val="36"/>
          <w:szCs w:val="36"/>
        </w:rPr>
      </w:pPr>
    </w:p>
    <w:p w14:paraId="04BBE63A">
      <w:pPr>
        <w:pStyle w:val="3"/>
        <w:spacing w:line="800" w:lineRule="exact"/>
        <w:rPr>
          <w:rFonts w:ascii="华文中宋" w:hAnsi="华文中宋" w:eastAsia="华文中宋" w:cs="华文中宋"/>
          <w:b/>
          <w:bCs/>
          <w:color w:val="000000"/>
          <w:kern w:val="0"/>
          <w:sz w:val="36"/>
          <w:szCs w:val="36"/>
        </w:rPr>
      </w:pPr>
      <w:r>
        <w:rPr>
          <w:rFonts w:hint="eastAsia" w:ascii="华文中宋" w:hAnsi="华文中宋" w:eastAsia="华文中宋" w:cs="华文中宋"/>
          <w:b/>
          <w:bCs/>
          <w:color w:val="000000"/>
          <w:kern w:val="0"/>
          <w:sz w:val="36"/>
          <w:szCs w:val="36"/>
        </w:rPr>
        <w:t>附件1：桐城市高桥城消防改造外墙真石漆</w:t>
      </w:r>
    </w:p>
    <w:p w14:paraId="593E1678">
      <w:pPr>
        <w:spacing w:line="600" w:lineRule="exact"/>
        <w:ind w:firstLine="1807" w:firstLineChars="500"/>
        <w:rPr>
          <w:rFonts w:ascii="华文中宋" w:hAnsi="华文中宋" w:eastAsia="华文中宋" w:cs="华文中宋"/>
          <w:b/>
          <w:bCs/>
          <w:sz w:val="36"/>
          <w:szCs w:val="36"/>
        </w:rPr>
      </w:pPr>
      <w:r>
        <w:rPr>
          <w:rFonts w:hint="eastAsia" w:ascii="华文中宋" w:hAnsi="华文中宋" w:eastAsia="华文中宋" w:cs="华文中宋"/>
          <w:b/>
          <w:bCs/>
          <w:sz w:val="36"/>
          <w:szCs w:val="36"/>
        </w:rPr>
        <w:t>投标报价书（第   次报价）</w:t>
      </w:r>
    </w:p>
    <w:p w14:paraId="7CDC0F91">
      <w:pPr>
        <w:spacing w:line="500" w:lineRule="exact"/>
        <w:rPr>
          <w:rFonts w:ascii="华文中宋" w:hAnsi="华文中宋" w:eastAsia="华文中宋" w:cs="华文中宋"/>
          <w:b/>
          <w:bCs/>
          <w:sz w:val="32"/>
          <w:szCs w:val="32"/>
        </w:rPr>
      </w:pPr>
      <w:r>
        <w:rPr>
          <w:rFonts w:hint="eastAsia" w:ascii="华文中宋" w:hAnsi="华文中宋" w:eastAsia="华文中宋" w:cs="华文中宋"/>
          <w:b/>
          <w:bCs/>
          <w:sz w:val="32"/>
          <w:szCs w:val="32"/>
        </w:rPr>
        <w:t>致：</w:t>
      </w:r>
      <w:r>
        <w:rPr>
          <w:rFonts w:hint="eastAsia" w:ascii="华文中宋" w:hAnsi="华文中宋" w:eastAsia="华文中宋" w:cs="华文中宋"/>
          <w:b/>
          <w:bCs/>
          <w:sz w:val="32"/>
          <w:szCs w:val="32"/>
          <w:u w:val="single"/>
        </w:rPr>
        <w:t>桐城市天正控股集团有限公司</w:t>
      </w:r>
    </w:p>
    <w:p w14:paraId="2E94D2A3">
      <w:pPr>
        <w:spacing w:line="500" w:lineRule="exact"/>
        <w:rPr>
          <w:rFonts w:ascii="宋体" w:hAnsi="宋体" w:eastAsia="宋体" w:cs="宋体"/>
          <w:sz w:val="24"/>
          <w:szCs w:val="24"/>
        </w:rPr>
      </w:pPr>
      <w:r>
        <w:rPr>
          <w:rFonts w:hint="eastAsia" w:ascii="宋体" w:hAnsi="宋体" w:cs="宋体"/>
          <w:sz w:val="24"/>
          <w:szCs w:val="24"/>
        </w:rPr>
        <w:t xml:space="preserve">    经踏勘项目现场，以及审查招标文件及其所有组成文件、补充文件后，我方愿以总价人民币（大写）</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元</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w:t>
      </w:r>
      <w:r>
        <w:rPr>
          <w:rFonts w:hint="eastAsia" w:ascii="宋体" w:hAnsi="宋体" w:eastAsia="宋体" w:cs="宋体"/>
          <w:sz w:val="24"/>
          <w:szCs w:val="24"/>
          <w:u w:val="single"/>
          <w:lang w:val="en-US" w:eastAsia="zh-CN"/>
        </w:rPr>
        <w:t>㎡</w:t>
      </w:r>
      <w:r>
        <w:rPr>
          <w:rFonts w:hint="eastAsia" w:ascii="宋体" w:hAnsi="宋体" w:cs="宋体"/>
          <w:sz w:val="24"/>
          <w:szCs w:val="24"/>
          <w:u w:val="single"/>
        </w:rPr>
        <w:t xml:space="preserve">                </w:t>
      </w:r>
      <w:r>
        <w:rPr>
          <w:rFonts w:hint="eastAsia" w:ascii="宋体" w:hAnsi="宋体" w:cs="宋体"/>
          <w:sz w:val="24"/>
          <w:szCs w:val="24"/>
        </w:rPr>
        <w:t>(小写￥</w:t>
      </w:r>
      <w:r>
        <w:rPr>
          <w:rFonts w:hint="eastAsia" w:ascii="宋体" w:hAnsi="宋体" w:cs="宋体"/>
          <w:sz w:val="24"/>
          <w:szCs w:val="24"/>
          <w:u w:val="single"/>
        </w:rPr>
        <w:t xml:space="preserve">        </w:t>
      </w:r>
      <w:r>
        <w:rPr>
          <w:rFonts w:hint="eastAsia" w:ascii="宋体" w:hAnsi="宋体" w:cs="宋体"/>
          <w:sz w:val="24"/>
          <w:szCs w:val="24"/>
        </w:rPr>
        <w:t>)的投标价格完成工程的施工。</w:t>
      </w:r>
    </w:p>
    <w:p w14:paraId="7E01AAA7">
      <w:pPr>
        <w:spacing w:line="500" w:lineRule="exact"/>
        <w:ind w:firstLine="480" w:firstLineChars="200"/>
        <w:rPr>
          <w:rFonts w:ascii="宋体" w:hAnsi="宋体" w:cs="宋体"/>
          <w:sz w:val="24"/>
          <w:szCs w:val="24"/>
        </w:rPr>
      </w:pPr>
      <w:r>
        <w:rPr>
          <w:rFonts w:hint="eastAsia" w:ascii="宋体" w:hAnsi="宋体" w:cs="宋体"/>
          <w:sz w:val="24"/>
          <w:szCs w:val="24"/>
        </w:rPr>
        <w:t xml:space="preserve">如果我方的投标被接纳，我方保证在规定时间内完成和交付本合同规定的全部工程；    </w:t>
      </w:r>
    </w:p>
    <w:p w14:paraId="25544625">
      <w:pPr>
        <w:spacing w:line="500" w:lineRule="exact"/>
        <w:ind w:firstLine="480" w:firstLineChars="200"/>
        <w:rPr>
          <w:rFonts w:ascii="宋体" w:hAnsi="宋体" w:cs="宋体"/>
          <w:sz w:val="24"/>
          <w:szCs w:val="24"/>
        </w:rPr>
      </w:pPr>
      <w:r>
        <w:rPr>
          <w:rFonts w:hint="eastAsia" w:ascii="宋体" w:hAnsi="宋体" w:cs="宋体"/>
          <w:sz w:val="24"/>
          <w:szCs w:val="24"/>
        </w:rPr>
        <w:t>我方确认所提供的投标价格已充分考虑了工地周围环境、交通道路、现场条件、招标文件及其所有组成文件、工程质量标准、工期要求、施工措施、安全文明措施、成本投入、材料价格变动因素、施工不可预见费(招标人认可的工程价款变更除外)等各种内、外部因素对报价的影响；</w:t>
      </w:r>
    </w:p>
    <w:p w14:paraId="1AD79327">
      <w:pPr>
        <w:spacing w:line="500" w:lineRule="exact"/>
        <w:rPr>
          <w:rFonts w:ascii="宋体" w:hAnsi="宋体" w:cs="宋体"/>
          <w:sz w:val="24"/>
          <w:szCs w:val="24"/>
        </w:rPr>
      </w:pPr>
      <w:r>
        <w:rPr>
          <w:rFonts w:hint="eastAsia" w:ascii="宋体" w:hAnsi="宋体" w:cs="宋体"/>
          <w:sz w:val="24"/>
          <w:szCs w:val="24"/>
        </w:rPr>
        <w:t xml:space="preserve">    我方同意你们选择中标单位的办法，并同意自行承担为投标所发生的一切费用；</w:t>
      </w:r>
    </w:p>
    <w:p w14:paraId="6E51FD01">
      <w:pPr>
        <w:spacing w:line="500" w:lineRule="exact"/>
        <w:rPr>
          <w:rFonts w:ascii="宋体" w:hAnsi="宋体" w:cs="宋体"/>
          <w:sz w:val="24"/>
          <w:szCs w:val="24"/>
        </w:rPr>
      </w:pPr>
      <w:r>
        <w:rPr>
          <w:rFonts w:hint="eastAsia" w:ascii="宋体" w:hAnsi="宋体" w:cs="宋体"/>
          <w:sz w:val="24"/>
          <w:szCs w:val="24"/>
        </w:rPr>
        <w:t xml:space="preserve">    我方知道，招标人并无义务必须接受所收到的价格最低或其它任何投标函，且无需作任何解释；</w:t>
      </w:r>
    </w:p>
    <w:p w14:paraId="139DA0CA">
      <w:pPr>
        <w:spacing w:line="500" w:lineRule="exact"/>
        <w:rPr>
          <w:rFonts w:ascii="宋体" w:hAnsi="宋体" w:cs="宋体"/>
          <w:sz w:val="24"/>
          <w:szCs w:val="24"/>
        </w:rPr>
      </w:pPr>
      <w:r>
        <w:rPr>
          <w:rFonts w:hint="eastAsia" w:ascii="宋体" w:hAnsi="宋体" w:cs="宋体"/>
          <w:sz w:val="24"/>
          <w:szCs w:val="24"/>
        </w:rPr>
        <w:t xml:space="preserve">    我方同意在从规定的投标截止日起按照投标须知规定的投标有效期遵守本投标书。在此期限届满之前, 本投标书将始终对我方具有约束力, 并可随时被招标人接受；</w:t>
      </w:r>
    </w:p>
    <w:p w14:paraId="2074723E">
      <w:pPr>
        <w:spacing w:line="500" w:lineRule="exact"/>
        <w:rPr>
          <w:rFonts w:ascii="宋体" w:hAnsi="宋体" w:cs="宋体"/>
          <w:sz w:val="24"/>
          <w:szCs w:val="24"/>
        </w:rPr>
      </w:pPr>
      <w:r>
        <w:rPr>
          <w:rFonts w:hint="eastAsia" w:ascii="宋体" w:hAnsi="宋体" w:cs="宋体"/>
          <w:sz w:val="24"/>
          <w:szCs w:val="24"/>
        </w:rPr>
        <w:t xml:space="preserve">    本投标函已考虑了招标人向我方发出的关于招标文件的修改通知(如有)。 </w:t>
      </w:r>
    </w:p>
    <w:p w14:paraId="7950A3F3">
      <w:pPr>
        <w:spacing w:line="500" w:lineRule="exact"/>
        <w:rPr>
          <w:rFonts w:ascii="宋体" w:hAnsi="宋体" w:cs="宋体"/>
          <w:sz w:val="24"/>
          <w:szCs w:val="24"/>
        </w:rPr>
      </w:pPr>
      <w:r>
        <w:rPr>
          <w:rFonts w:hint="eastAsia" w:ascii="宋体" w:hAnsi="宋体" w:cs="宋体"/>
          <w:sz w:val="24"/>
          <w:szCs w:val="24"/>
        </w:rPr>
        <w:t xml:space="preserve">                                 投标人：（盖章）</w:t>
      </w:r>
    </w:p>
    <w:p w14:paraId="74523E03">
      <w:pPr>
        <w:spacing w:line="500" w:lineRule="exact"/>
        <w:rPr>
          <w:rFonts w:ascii="宋体" w:hAnsi="宋体" w:cs="宋体"/>
          <w:sz w:val="24"/>
          <w:szCs w:val="24"/>
        </w:rPr>
      </w:pPr>
      <w:r>
        <w:rPr>
          <w:rFonts w:hint="eastAsia" w:ascii="宋体" w:hAnsi="宋体" w:cs="宋体"/>
          <w:sz w:val="24"/>
          <w:szCs w:val="24"/>
        </w:rPr>
        <w:t xml:space="preserve">                                 投标人法人代表或委托代理人：</w:t>
      </w:r>
      <w:r>
        <w:rPr>
          <w:rFonts w:hint="eastAsia" w:ascii="宋体" w:hAnsi="宋体" w:cs="宋体"/>
          <w:sz w:val="24"/>
          <w:szCs w:val="24"/>
        </w:rPr>
        <w:tab/>
      </w:r>
    </w:p>
    <w:p w14:paraId="19D8C8A2">
      <w:pPr>
        <w:spacing w:line="500" w:lineRule="exact"/>
        <w:rPr>
          <w:rFonts w:ascii="宋体" w:hAnsi="宋体" w:cs="宋体"/>
          <w:sz w:val="24"/>
          <w:szCs w:val="24"/>
        </w:rPr>
      </w:pPr>
      <w:r>
        <w:rPr>
          <w:rFonts w:hint="eastAsia" w:ascii="宋体" w:hAnsi="宋体" w:cs="宋体"/>
          <w:sz w:val="24"/>
          <w:szCs w:val="24"/>
        </w:rPr>
        <w:tab/>
      </w:r>
      <w:r>
        <w:rPr>
          <w:rFonts w:hint="eastAsia" w:ascii="宋体" w:hAnsi="宋体" w:cs="宋体"/>
          <w:sz w:val="24"/>
          <w:szCs w:val="24"/>
        </w:rPr>
        <w:t xml:space="preserve">                             日期：</w:t>
      </w:r>
      <w:r>
        <w:rPr>
          <w:rFonts w:hint="eastAsia" w:ascii="宋体" w:hAnsi="宋体" w:cs="宋体"/>
          <w:sz w:val="24"/>
          <w:szCs w:val="24"/>
        </w:rPr>
        <w:tab/>
      </w:r>
    </w:p>
    <w:p w14:paraId="40D5F0C2">
      <w:pPr>
        <w:pStyle w:val="3"/>
        <w:rPr>
          <w:rFonts w:ascii="Times New Roman" w:hAnsi="宋体" w:cs="宋体"/>
          <w:sz w:val="24"/>
          <w:szCs w:val="24"/>
        </w:rPr>
      </w:pPr>
    </w:p>
    <w:p w14:paraId="24825FAE">
      <w:pPr>
        <w:pStyle w:val="11"/>
      </w:pPr>
    </w:p>
    <w:p w14:paraId="4FDC6AFF">
      <w:pPr>
        <w:pStyle w:val="11"/>
      </w:pPr>
    </w:p>
    <w:p w14:paraId="5A621A86">
      <w:pPr>
        <w:pStyle w:val="11"/>
      </w:pPr>
    </w:p>
    <w:p w14:paraId="7077394D">
      <w:pPr>
        <w:pStyle w:val="11"/>
      </w:pPr>
    </w:p>
    <w:p w14:paraId="13A4352A">
      <w:pPr>
        <w:pStyle w:val="11"/>
      </w:pPr>
    </w:p>
    <w:p w14:paraId="4E49206C">
      <w:pPr>
        <w:pStyle w:val="11"/>
      </w:pPr>
    </w:p>
    <w:p w14:paraId="7CC50F1D">
      <w:pPr>
        <w:pStyle w:val="11"/>
      </w:pPr>
    </w:p>
    <w:sectPr>
      <w:footerReference r:id="rId3" w:type="default"/>
      <w:pgSz w:w="11906" w:h="16838"/>
      <w:pgMar w:top="1474" w:right="1463" w:bottom="1440" w:left="1463" w:header="0" w:footer="1134" w:gutter="0"/>
      <w:cols w:space="720" w:num="1"/>
      <w:formProt w:val="0"/>
      <w:docGrid w:type="lines" w:linePitch="312" w:charSpace="5898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382A2">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225C8F">
                          <w:pPr>
                            <w:pStyle w:val="9"/>
                          </w:pPr>
                          <w:r>
                            <w:fldChar w:fldCharType="begin"/>
                          </w:r>
                          <w:r>
                            <w:instrText xml:space="preserve"> PAGE  \* MERGEFORMAT </w:instrText>
                          </w:r>
                          <w:r>
                            <w:fldChar w:fldCharType="separate"/>
                          </w:r>
                          <w:r>
                            <w:t>2</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yefv8kBAACZAwAADgAAAGRycy9lMm9Eb2MueG1srVPNjtMwEL4j8Q6W&#10;79Rph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I6&#10;29MHqLHrIWBfGu78kFunPGAyqx5UtPmNegjW0dzz1Vw5JCLyR+vVel1hSWBtPiAOe/w8REhvpbck&#10;Bw2NeHvFVH56D2lsnVvyNOfvtTGY57VxfyUQM2dY5j5yzFEa9sNEfO/bM+rp8eIb6nDPKTHvHPqa&#10;d2QO4hzs5+AYoj50SG1ZeEG4PSYkUbjlCSPsNBhvrKibtiuvxJ/n0vX4R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fJ5+/yQEAAJkDAAAOAAAAAAAAAAEAIAAAAB4BAABkcnMvZTJvRG9j&#10;LnhtbFBLBQYAAAAABgAGAFkBAABZBQAAAAA=&#10;">
              <v:fill on="f" focussize="0,0"/>
              <v:stroke on="f"/>
              <v:imagedata o:title=""/>
              <o:lock v:ext="edit" aspectratio="f"/>
              <v:textbox inset="0mm,0mm,0mm,0mm" style="mso-fit-shape-to-text:t;">
                <w:txbxContent>
                  <w:p w14:paraId="34225C8F">
                    <w:pPr>
                      <w:pStyle w:val="9"/>
                    </w:pPr>
                    <w:r>
                      <w:fldChar w:fldCharType="begin"/>
                    </w:r>
                    <w:r>
                      <w:instrText xml:space="preserve"> PAGE  \* MERGEFORMAT </w:instrText>
                    </w:r>
                    <w:r>
                      <w:fldChar w:fldCharType="separate"/>
                    </w:r>
                    <w:r>
                      <w:t>2</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autoHyphenation/>
  <w:noPunctuationKerning w:val="1"/>
  <w:characterSpacingControl w:val="doNotCompress"/>
  <w:compat>
    <w:balanceSingleByteDoubleByteWidth/>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yNTJhM2Q5MDE1NTcwNWJkMDU4MWIwNDQ1MTMyNzUifQ=="/>
  </w:docVars>
  <w:rsids>
    <w:rsidRoot w:val="00184EFC"/>
    <w:rsid w:val="0000348A"/>
    <w:rsid w:val="000417F0"/>
    <w:rsid w:val="000547FF"/>
    <w:rsid w:val="00057D0B"/>
    <w:rsid w:val="000719E9"/>
    <w:rsid w:val="00077A00"/>
    <w:rsid w:val="00086A8F"/>
    <w:rsid w:val="00086FF9"/>
    <w:rsid w:val="000D32FA"/>
    <w:rsid w:val="000D7CB9"/>
    <w:rsid w:val="000E1B0D"/>
    <w:rsid w:val="000F6D7E"/>
    <w:rsid w:val="00106899"/>
    <w:rsid w:val="001132A1"/>
    <w:rsid w:val="00130AA6"/>
    <w:rsid w:val="00136E27"/>
    <w:rsid w:val="00143925"/>
    <w:rsid w:val="00146788"/>
    <w:rsid w:val="00155B00"/>
    <w:rsid w:val="00156DA1"/>
    <w:rsid w:val="00166730"/>
    <w:rsid w:val="00174835"/>
    <w:rsid w:val="00176FC4"/>
    <w:rsid w:val="00184EFC"/>
    <w:rsid w:val="00190B41"/>
    <w:rsid w:val="001960D0"/>
    <w:rsid w:val="001B5A73"/>
    <w:rsid w:val="001B623B"/>
    <w:rsid w:val="001C09C0"/>
    <w:rsid w:val="001C11EC"/>
    <w:rsid w:val="001C4FFD"/>
    <w:rsid w:val="001D7729"/>
    <w:rsid w:val="001E1DAC"/>
    <w:rsid w:val="001E25CC"/>
    <w:rsid w:val="001F3932"/>
    <w:rsid w:val="002013CB"/>
    <w:rsid w:val="00202B46"/>
    <w:rsid w:val="002073EC"/>
    <w:rsid w:val="00213F20"/>
    <w:rsid w:val="00217044"/>
    <w:rsid w:val="002233C9"/>
    <w:rsid w:val="00233898"/>
    <w:rsid w:val="00233F32"/>
    <w:rsid w:val="00261B86"/>
    <w:rsid w:val="00266CAF"/>
    <w:rsid w:val="00267248"/>
    <w:rsid w:val="00270573"/>
    <w:rsid w:val="00272569"/>
    <w:rsid w:val="0028056C"/>
    <w:rsid w:val="00285BB1"/>
    <w:rsid w:val="00292DBE"/>
    <w:rsid w:val="00295F24"/>
    <w:rsid w:val="002A2124"/>
    <w:rsid w:val="002B4746"/>
    <w:rsid w:val="002B47F3"/>
    <w:rsid w:val="00303700"/>
    <w:rsid w:val="00304CCC"/>
    <w:rsid w:val="00315311"/>
    <w:rsid w:val="00316675"/>
    <w:rsid w:val="00321116"/>
    <w:rsid w:val="00337E88"/>
    <w:rsid w:val="003412EA"/>
    <w:rsid w:val="003610D7"/>
    <w:rsid w:val="00386BA9"/>
    <w:rsid w:val="003933ED"/>
    <w:rsid w:val="0039619A"/>
    <w:rsid w:val="003965E9"/>
    <w:rsid w:val="003B39B9"/>
    <w:rsid w:val="003B6AAB"/>
    <w:rsid w:val="003D0617"/>
    <w:rsid w:val="003F5247"/>
    <w:rsid w:val="00405FCC"/>
    <w:rsid w:val="00407185"/>
    <w:rsid w:val="004142C5"/>
    <w:rsid w:val="004235BC"/>
    <w:rsid w:val="00423731"/>
    <w:rsid w:val="004357D1"/>
    <w:rsid w:val="00453860"/>
    <w:rsid w:val="00453D3F"/>
    <w:rsid w:val="00454FCF"/>
    <w:rsid w:val="004557C3"/>
    <w:rsid w:val="00457617"/>
    <w:rsid w:val="00465776"/>
    <w:rsid w:val="00484767"/>
    <w:rsid w:val="00486E0C"/>
    <w:rsid w:val="004A2668"/>
    <w:rsid w:val="004A392D"/>
    <w:rsid w:val="004B0239"/>
    <w:rsid w:val="004C1590"/>
    <w:rsid w:val="00500199"/>
    <w:rsid w:val="005233E2"/>
    <w:rsid w:val="005266FD"/>
    <w:rsid w:val="005273F6"/>
    <w:rsid w:val="005324F4"/>
    <w:rsid w:val="00555B90"/>
    <w:rsid w:val="00572CC3"/>
    <w:rsid w:val="005732ED"/>
    <w:rsid w:val="005A1468"/>
    <w:rsid w:val="005B0076"/>
    <w:rsid w:val="005B1BA5"/>
    <w:rsid w:val="00616B77"/>
    <w:rsid w:val="006225D7"/>
    <w:rsid w:val="00622F14"/>
    <w:rsid w:val="0062450B"/>
    <w:rsid w:val="006302E7"/>
    <w:rsid w:val="006663BC"/>
    <w:rsid w:val="00696648"/>
    <w:rsid w:val="006A5BA4"/>
    <w:rsid w:val="006C033E"/>
    <w:rsid w:val="006C23B1"/>
    <w:rsid w:val="006C4A0A"/>
    <w:rsid w:val="006D4BD6"/>
    <w:rsid w:val="006F1D72"/>
    <w:rsid w:val="006F3EE0"/>
    <w:rsid w:val="0070499A"/>
    <w:rsid w:val="00722C12"/>
    <w:rsid w:val="00726A0F"/>
    <w:rsid w:val="00733A73"/>
    <w:rsid w:val="00753872"/>
    <w:rsid w:val="00754E8E"/>
    <w:rsid w:val="00764E2A"/>
    <w:rsid w:val="007777A5"/>
    <w:rsid w:val="007B1CC5"/>
    <w:rsid w:val="007B5C27"/>
    <w:rsid w:val="007C055A"/>
    <w:rsid w:val="007C5815"/>
    <w:rsid w:val="007D3FE1"/>
    <w:rsid w:val="007D56CB"/>
    <w:rsid w:val="0080253B"/>
    <w:rsid w:val="00806186"/>
    <w:rsid w:val="008242FB"/>
    <w:rsid w:val="00832DFA"/>
    <w:rsid w:val="0083501A"/>
    <w:rsid w:val="00836C5F"/>
    <w:rsid w:val="00837418"/>
    <w:rsid w:val="00857BBB"/>
    <w:rsid w:val="00865E88"/>
    <w:rsid w:val="008723A6"/>
    <w:rsid w:val="00875705"/>
    <w:rsid w:val="00890C68"/>
    <w:rsid w:val="008A37DE"/>
    <w:rsid w:val="008C2A72"/>
    <w:rsid w:val="008E4B79"/>
    <w:rsid w:val="008E62F7"/>
    <w:rsid w:val="008F22AC"/>
    <w:rsid w:val="009040FD"/>
    <w:rsid w:val="00915083"/>
    <w:rsid w:val="00915B47"/>
    <w:rsid w:val="00925263"/>
    <w:rsid w:val="00926EE0"/>
    <w:rsid w:val="0094785C"/>
    <w:rsid w:val="00961928"/>
    <w:rsid w:val="00966AF6"/>
    <w:rsid w:val="00982494"/>
    <w:rsid w:val="00992DEA"/>
    <w:rsid w:val="009C08F8"/>
    <w:rsid w:val="009C551C"/>
    <w:rsid w:val="009D0514"/>
    <w:rsid w:val="009D6AC7"/>
    <w:rsid w:val="009E0611"/>
    <w:rsid w:val="009E2EA3"/>
    <w:rsid w:val="009F2B45"/>
    <w:rsid w:val="00A06C52"/>
    <w:rsid w:val="00A11D00"/>
    <w:rsid w:val="00A1204C"/>
    <w:rsid w:val="00A27749"/>
    <w:rsid w:val="00A30595"/>
    <w:rsid w:val="00A33C95"/>
    <w:rsid w:val="00A40A62"/>
    <w:rsid w:val="00A411C1"/>
    <w:rsid w:val="00A42326"/>
    <w:rsid w:val="00A42ED8"/>
    <w:rsid w:val="00A53276"/>
    <w:rsid w:val="00A54A26"/>
    <w:rsid w:val="00A77B53"/>
    <w:rsid w:val="00A817BB"/>
    <w:rsid w:val="00A86308"/>
    <w:rsid w:val="00A87318"/>
    <w:rsid w:val="00AC2F55"/>
    <w:rsid w:val="00AE2E55"/>
    <w:rsid w:val="00AE3DA9"/>
    <w:rsid w:val="00AE4D83"/>
    <w:rsid w:val="00B171E9"/>
    <w:rsid w:val="00B1763F"/>
    <w:rsid w:val="00B621AF"/>
    <w:rsid w:val="00B678E6"/>
    <w:rsid w:val="00B82DFD"/>
    <w:rsid w:val="00B83982"/>
    <w:rsid w:val="00B856EC"/>
    <w:rsid w:val="00B91FA7"/>
    <w:rsid w:val="00BB35A9"/>
    <w:rsid w:val="00BC5144"/>
    <w:rsid w:val="00BC748C"/>
    <w:rsid w:val="00BD17F8"/>
    <w:rsid w:val="00C146BA"/>
    <w:rsid w:val="00C24944"/>
    <w:rsid w:val="00C24B98"/>
    <w:rsid w:val="00C503BC"/>
    <w:rsid w:val="00C51E1F"/>
    <w:rsid w:val="00C570FD"/>
    <w:rsid w:val="00C57BC7"/>
    <w:rsid w:val="00C8470A"/>
    <w:rsid w:val="00C84FB4"/>
    <w:rsid w:val="00C86F3D"/>
    <w:rsid w:val="00C94277"/>
    <w:rsid w:val="00C96178"/>
    <w:rsid w:val="00CA0B78"/>
    <w:rsid w:val="00CA2A82"/>
    <w:rsid w:val="00CA2C02"/>
    <w:rsid w:val="00CB539B"/>
    <w:rsid w:val="00CB56A2"/>
    <w:rsid w:val="00CE0F87"/>
    <w:rsid w:val="00D0097A"/>
    <w:rsid w:val="00D02CC1"/>
    <w:rsid w:val="00D04236"/>
    <w:rsid w:val="00D12BD6"/>
    <w:rsid w:val="00D2212E"/>
    <w:rsid w:val="00D27BD1"/>
    <w:rsid w:val="00D35585"/>
    <w:rsid w:val="00D5642B"/>
    <w:rsid w:val="00D667CD"/>
    <w:rsid w:val="00D806E5"/>
    <w:rsid w:val="00D812E9"/>
    <w:rsid w:val="00D82F0E"/>
    <w:rsid w:val="00D942EC"/>
    <w:rsid w:val="00DA78D0"/>
    <w:rsid w:val="00DB652E"/>
    <w:rsid w:val="00DD622E"/>
    <w:rsid w:val="00DE3DC2"/>
    <w:rsid w:val="00DF1367"/>
    <w:rsid w:val="00E00256"/>
    <w:rsid w:val="00E07095"/>
    <w:rsid w:val="00E139EF"/>
    <w:rsid w:val="00E25570"/>
    <w:rsid w:val="00E26A28"/>
    <w:rsid w:val="00E3104C"/>
    <w:rsid w:val="00E555DE"/>
    <w:rsid w:val="00E73CBA"/>
    <w:rsid w:val="00E74301"/>
    <w:rsid w:val="00E81552"/>
    <w:rsid w:val="00E94304"/>
    <w:rsid w:val="00EA433A"/>
    <w:rsid w:val="00EB2681"/>
    <w:rsid w:val="00EB6582"/>
    <w:rsid w:val="00EC2A93"/>
    <w:rsid w:val="00EC7AFE"/>
    <w:rsid w:val="00ED030F"/>
    <w:rsid w:val="00ED1A40"/>
    <w:rsid w:val="00ED4B23"/>
    <w:rsid w:val="00ED5177"/>
    <w:rsid w:val="00ED7068"/>
    <w:rsid w:val="00EE5528"/>
    <w:rsid w:val="00EF1452"/>
    <w:rsid w:val="00EF163A"/>
    <w:rsid w:val="00F13ADF"/>
    <w:rsid w:val="00F173FB"/>
    <w:rsid w:val="00F177E6"/>
    <w:rsid w:val="00F3227D"/>
    <w:rsid w:val="00F32AEB"/>
    <w:rsid w:val="00F36929"/>
    <w:rsid w:val="00F4783F"/>
    <w:rsid w:val="00F5386E"/>
    <w:rsid w:val="00F564AB"/>
    <w:rsid w:val="00F57B7A"/>
    <w:rsid w:val="00F65A81"/>
    <w:rsid w:val="00F71ACE"/>
    <w:rsid w:val="00F77529"/>
    <w:rsid w:val="00F84E17"/>
    <w:rsid w:val="00FA7900"/>
    <w:rsid w:val="00FB0C7F"/>
    <w:rsid w:val="00FB29A2"/>
    <w:rsid w:val="00FD10B1"/>
    <w:rsid w:val="00FE31C1"/>
    <w:rsid w:val="00FF6711"/>
    <w:rsid w:val="01152D1C"/>
    <w:rsid w:val="01F14D90"/>
    <w:rsid w:val="03C52E3C"/>
    <w:rsid w:val="05E528DE"/>
    <w:rsid w:val="06057837"/>
    <w:rsid w:val="0D820449"/>
    <w:rsid w:val="0F501F02"/>
    <w:rsid w:val="100A1081"/>
    <w:rsid w:val="15C12C27"/>
    <w:rsid w:val="17315EFB"/>
    <w:rsid w:val="188767E6"/>
    <w:rsid w:val="18CF494E"/>
    <w:rsid w:val="1A0D168E"/>
    <w:rsid w:val="204F3608"/>
    <w:rsid w:val="22EA3CD7"/>
    <w:rsid w:val="24C2655C"/>
    <w:rsid w:val="27C21359"/>
    <w:rsid w:val="27C843BA"/>
    <w:rsid w:val="28035AF6"/>
    <w:rsid w:val="29D65BB5"/>
    <w:rsid w:val="2A4F43BB"/>
    <w:rsid w:val="2B6B113D"/>
    <w:rsid w:val="2BF90430"/>
    <w:rsid w:val="2CC61D1E"/>
    <w:rsid w:val="2E7C7540"/>
    <w:rsid w:val="3BAE4086"/>
    <w:rsid w:val="3DA20BDF"/>
    <w:rsid w:val="3DC43711"/>
    <w:rsid w:val="3E3076D3"/>
    <w:rsid w:val="3EA9340D"/>
    <w:rsid w:val="3FB4067C"/>
    <w:rsid w:val="42290E73"/>
    <w:rsid w:val="45D472F0"/>
    <w:rsid w:val="48A6681C"/>
    <w:rsid w:val="4DF80276"/>
    <w:rsid w:val="501B4BBD"/>
    <w:rsid w:val="503F3C43"/>
    <w:rsid w:val="56030DD8"/>
    <w:rsid w:val="5C1F0D35"/>
    <w:rsid w:val="5C1F54B9"/>
    <w:rsid w:val="60BE4E23"/>
    <w:rsid w:val="621F2B6A"/>
    <w:rsid w:val="631E4EA9"/>
    <w:rsid w:val="640873CD"/>
    <w:rsid w:val="64735DEF"/>
    <w:rsid w:val="657C1BA4"/>
    <w:rsid w:val="65D75038"/>
    <w:rsid w:val="66CE6F6C"/>
    <w:rsid w:val="68E10717"/>
    <w:rsid w:val="6D092D74"/>
    <w:rsid w:val="6E876330"/>
    <w:rsid w:val="72FE283B"/>
    <w:rsid w:val="742F09F4"/>
    <w:rsid w:val="77ED69DD"/>
    <w:rsid w:val="797C0E2D"/>
    <w:rsid w:val="7B9C3E90"/>
    <w:rsid w:val="7CEE7CC8"/>
    <w:rsid w:val="7D0D5807"/>
    <w:rsid w:val="7F0403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qFormat="1" w:unhideWhenUsed="0" w:uiPriority="0" w:semiHidden="0"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Lines="50"/>
      <w:textAlignment w:val="baseline"/>
      <w:outlineLvl w:val="1"/>
    </w:pPr>
    <w:rPr>
      <w:rFonts w:ascii="宋体" w:hAnsi="宋体" w:eastAsia="宋体" w:cs="Times New Roman"/>
      <w:b/>
      <w:kern w:val="0"/>
      <w:szCs w:val="20"/>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26"/>
    <w:qFormat/>
    <w:uiPriority w:val="0"/>
    <w:rPr>
      <w:rFonts w:ascii="宋体" w:hAnsi="Arial"/>
      <w:sz w:val="28"/>
    </w:rPr>
  </w:style>
  <w:style w:type="paragraph" w:styleId="4">
    <w:name w:val="Body Text Indent"/>
    <w:basedOn w:val="1"/>
    <w:link w:val="18"/>
    <w:semiHidden/>
    <w:unhideWhenUsed/>
    <w:qFormat/>
    <w:uiPriority w:val="99"/>
    <w:pPr>
      <w:spacing w:after="120"/>
      <w:ind w:left="420" w:leftChars="200"/>
    </w:pPr>
  </w:style>
  <w:style w:type="paragraph" w:styleId="5">
    <w:name w:val="List 2"/>
    <w:basedOn w:val="1"/>
    <w:qFormat/>
    <w:uiPriority w:val="0"/>
    <w:pPr>
      <w:ind w:left="100" w:leftChars="200" w:hanging="200" w:hangingChars="200"/>
    </w:pPr>
    <w:rPr>
      <w:rFonts w:ascii="Calibri" w:hAnsi="Calibri" w:eastAsia="宋体" w:cs="Times New Roman"/>
    </w:rPr>
  </w:style>
  <w:style w:type="paragraph" w:styleId="6">
    <w:name w:val="Plain Text"/>
    <w:basedOn w:val="1"/>
    <w:link w:val="19"/>
    <w:qFormat/>
    <w:uiPriority w:val="0"/>
    <w:rPr>
      <w:rFonts w:ascii="宋体" w:hAnsi="Courier New" w:eastAsia="宋体" w:cs="Times New Roman"/>
      <w:kern w:val="0"/>
      <w:sz w:val="20"/>
      <w:szCs w:val="21"/>
    </w:rPr>
  </w:style>
  <w:style w:type="paragraph" w:styleId="7">
    <w:name w:val="toc 8"/>
    <w:basedOn w:val="1"/>
    <w:next w:val="1"/>
    <w:qFormat/>
    <w:uiPriority w:val="0"/>
    <w:pPr>
      <w:ind w:left="1470"/>
      <w:jc w:val="left"/>
    </w:pPr>
    <w:rPr>
      <w:rFonts w:ascii="Times New Roman" w:hAnsi="Times New Roman" w:eastAsia="宋体" w:cs="Times New Roman"/>
      <w:sz w:val="18"/>
      <w:szCs w:val="20"/>
    </w:rPr>
  </w:style>
  <w:style w:type="paragraph" w:styleId="8">
    <w:name w:val="Date"/>
    <w:basedOn w:val="1"/>
    <w:next w:val="1"/>
    <w:link w:val="20"/>
    <w:semiHidden/>
    <w:unhideWhenUsed/>
    <w:qFormat/>
    <w:uiPriority w:val="99"/>
    <w:pPr>
      <w:ind w:left="100" w:leftChars="2500"/>
    </w:pPr>
  </w:style>
  <w:style w:type="paragraph" w:styleId="9">
    <w:name w:val="footer"/>
    <w:basedOn w:val="1"/>
    <w:link w:val="21"/>
    <w:unhideWhenUsed/>
    <w:qFormat/>
    <w:uiPriority w:val="99"/>
    <w:pPr>
      <w:tabs>
        <w:tab w:val="center" w:pos="4153"/>
        <w:tab w:val="right" w:pos="8306"/>
      </w:tabs>
      <w:snapToGrid w:val="0"/>
      <w:jc w:val="left"/>
    </w:pPr>
    <w:rPr>
      <w:sz w:val="18"/>
      <w:szCs w:val="18"/>
    </w:rPr>
  </w:style>
  <w:style w:type="paragraph" w:styleId="10">
    <w:name w:val="header"/>
    <w:basedOn w:val="1"/>
    <w:link w:val="2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autoRedefine/>
    <w:unhideWhenUsed/>
    <w:qFormat/>
    <w:uiPriority w:val="99"/>
    <w:pPr>
      <w:jc w:val="left"/>
    </w:pPr>
    <w:rPr>
      <w:rFonts w:ascii="Times New Roman" w:hAnsi="Times New Roman" w:eastAsia="宋体" w:cs="Times New Roman"/>
      <w:b/>
      <w:kern w:val="0"/>
      <w:sz w:val="24"/>
      <w:szCs w:val="20"/>
    </w:rPr>
  </w:style>
  <w:style w:type="paragraph" w:styleId="12">
    <w:name w:val="Body Text First Indent 2"/>
    <w:basedOn w:val="4"/>
    <w:link w:val="23"/>
    <w:semiHidden/>
    <w:unhideWhenUsed/>
    <w:qFormat/>
    <w:uiPriority w:val="99"/>
    <w:pPr>
      <w:ind w:firstLine="420" w:firstLineChars="2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qFormat/>
    <w:uiPriority w:val="22"/>
    <w:rPr>
      <w:b/>
      <w:bCs/>
    </w:rPr>
  </w:style>
  <w:style w:type="character" w:customStyle="1" w:styleId="17">
    <w:name w:val="标题 2 Char"/>
    <w:basedOn w:val="15"/>
    <w:link w:val="2"/>
    <w:autoRedefine/>
    <w:qFormat/>
    <w:uiPriority w:val="0"/>
    <w:rPr>
      <w:rFonts w:ascii="宋体" w:hAnsi="宋体" w:eastAsia="宋体" w:cs="Times New Roman"/>
      <w:b/>
      <w:sz w:val="21"/>
    </w:rPr>
  </w:style>
  <w:style w:type="character" w:customStyle="1" w:styleId="18">
    <w:name w:val="正文文本缩进 Char"/>
    <w:basedOn w:val="15"/>
    <w:link w:val="4"/>
    <w:semiHidden/>
    <w:qFormat/>
    <w:uiPriority w:val="99"/>
    <w:rPr>
      <w:kern w:val="2"/>
      <w:sz w:val="21"/>
      <w:szCs w:val="22"/>
    </w:rPr>
  </w:style>
  <w:style w:type="character" w:customStyle="1" w:styleId="19">
    <w:name w:val="纯文本 Char"/>
    <w:basedOn w:val="15"/>
    <w:link w:val="6"/>
    <w:autoRedefine/>
    <w:qFormat/>
    <w:uiPriority w:val="0"/>
    <w:rPr>
      <w:rFonts w:ascii="宋体" w:hAnsi="Courier New" w:eastAsia="宋体" w:cs="Times New Roman"/>
      <w:szCs w:val="21"/>
    </w:rPr>
  </w:style>
  <w:style w:type="character" w:customStyle="1" w:styleId="20">
    <w:name w:val="日期 Char"/>
    <w:basedOn w:val="15"/>
    <w:link w:val="8"/>
    <w:semiHidden/>
    <w:qFormat/>
    <w:uiPriority w:val="99"/>
    <w:rPr>
      <w:kern w:val="2"/>
      <w:sz w:val="21"/>
      <w:szCs w:val="22"/>
    </w:rPr>
  </w:style>
  <w:style w:type="character" w:customStyle="1" w:styleId="21">
    <w:name w:val="页脚 Char"/>
    <w:basedOn w:val="15"/>
    <w:link w:val="9"/>
    <w:autoRedefine/>
    <w:qFormat/>
    <w:uiPriority w:val="99"/>
    <w:rPr>
      <w:sz w:val="18"/>
      <w:szCs w:val="18"/>
    </w:rPr>
  </w:style>
  <w:style w:type="character" w:customStyle="1" w:styleId="22">
    <w:name w:val="页眉 Char"/>
    <w:basedOn w:val="15"/>
    <w:link w:val="10"/>
    <w:qFormat/>
    <w:uiPriority w:val="99"/>
    <w:rPr>
      <w:sz w:val="18"/>
      <w:szCs w:val="18"/>
    </w:rPr>
  </w:style>
  <w:style w:type="character" w:customStyle="1" w:styleId="23">
    <w:name w:val="正文首行缩进 2 Char"/>
    <w:basedOn w:val="18"/>
    <w:link w:val="12"/>
    <w:autoRedefine/>
    <w:semiHidden/>
    <w:qFormat/>
    <w:uiPriority w:val="99"/>
    <w:rPr>
      <w:kern w:val="2"/>
      <w:sz w:val="21"/>
      <w:szCs w:val="22"/>
    </w:rPr>
  </w:style>
  <w:style w:type="paragraph" w:styleId="24">
    <w:name w:val="List Paragraph"/>
    <w:basedOn w:val="1"/>
    <w:unhideWhenUsed/>
    <w:qFormat/>
    <w:uiPriority w:val="99"/>
    <w:pPr>
      <w:ind w:firstLine="420" w:firstLineChars="200"/>
    </w:pPr>
  </w:style>
  <w:style w:type="table" w:customStyle="1" w:styleId="25">
    <w:name w:val="网格型1"/>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6">
    <w:name w:val="正文文本 Char"/>
    <w:basedOn w:val="15"/>
    <w:link w:val="3"/>
    <w:qFormat/>
    <w:uiPriority w:val="0"/>
    <w:rPr>
      <w:rFonts w:ascii="宋体" w:hAnsi="Arial" w:eastAsiaTheme="minorEastAsia" w:cstheme="minorBidi"/>
      <w:kern w:val="2"/>
      <w:sz w:val="28"/>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3102</Words>
  <Characters>3285</Characters>
  <Lines>26</Lines>
  <Paragraphs>7</Paragraphs>
  <TotalTime>570</TotalTime>
  <ScaleCrop>false</ScaleCrop>
  <LinksUpToDate>false</LinksUpToDate>
  <CharactersWithSpaces>3515</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2024-08-16T00:15:00Z</dcterms:created>
  <dc:creator>zhou</dc:creator>
  <cp:lastModifiedBy>微信用户</cp:lastModifiedBy>
  <cp:lastPrinted>2024-04-18T02:08:00Z</cp:lastPrinted>
  <dcterms:modified xsi:type="dcterms:W3CDTF">2024-11-15T00:18:42Z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217D7FD0B4BD495CB2AD2EA3166193EC_13</vt:lpwstr>
  </property>
</Properties>
</file>